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470E08" w14:textId="42BB129F" w:rsidR="00C97B14" w:rsidRPr="00382EA1" w:rsidRDefault="00C37832">
      <w:pPr>
        <w:rPr>
          <w:b/>
          <w:sz w:val="24"/>
          <w:szCs w:val="24"/>
        </w:rPr>
      </w:pPr>
      <w:r w:rsidRPr="00382EA1">
        <w:rPr>
          <w:b/>
          <w:sz w:val="24"/>
          <w:szCs w:val="24"/>
        </w:rPr>
        <w:t>The U.S. Arts and Cultural Production Satellite Account (1998-201</w:t>
      </w:r>
      <w:r w:rsidR="00557E73" w:rsidRPr="00382EA1">
        <w:rPr>
          <w:b/>
          <w:sz w:val="24"/>
          <w:szCs w:val="24"/>
        </w:rPr>
        <w:t>6</w:t>
      </w:r>
      <w:r w:rsidRPr="00382EA1">
        <w:rPr>
          <w:b/>
          <w:sz w:val="24"/>
          <w:szCs w:val="24"/>
        </w:rPr>
        <w:t>)</w:t>
      </w:r>
      <w:r w:rsidR="006B2017">
        <w:rPr>
          <w:b/>
          <w:sz w:val="24"/>
          <w:szCs w:val="24"/>
        </w:rPr>
        <w:t>: A National Summary</w:t>
      </w:r>
    </w:p>
    <w:p w14:paraId="0DF20E98" w14:textId="0089A9DE" w:rsidR="00C37832" w:rsidRPr="00382EA1" w:rsidRDefault="00615DBD">
      <w:pPr>
        <w:rPr>
          <w:i/>
          <w:sz w:val="24"/>
          <w:szCs w:val="24"/>
        </w:rPr>
      </w:pPr>
      <w:r>
        <w:rPr>
          <w:i/>
          <w:sz w:val="24"/>
          <w:szCs w:val="24"/>
        </w:rPr>
        <w:t xml:space="preserve">The </w:t>
      </w:r>
      <w:r w:rsidR="006B2017">
        <w:rPr>
          <w:i/>
          <w:sz w:val="24"/>
          <w:szCs w:val="24"/>
        </w:rPr>
        <w:t>Econ</w:t>
      </w:r>
      <w:r w:rsidR="00C365AC">
        <w:rPr>
          <w:i/>
          <w:sz w:val="24"/>
          <w:szCs w:val="24"/>
        </w:rPr>
        <w:t>omic Impact of Arts and Culture</w:t>
      </w:r>
      <w:r>
        <w:rPr>
          <w:i/>
          <w:sz w:val="24"/>
          <w:szCs w:val="24"/>
        </w:rPr>
        <w:t xml:space="preserve"> Is</w:t>
      </w:r>
      <w:r w:rsidR="00C365AC">
        <w:rPr>
          <w:i/>
          <w:sz w:val="24"/>
          <w:szCs w:val="24"/>
        </w:rPr>
        <w:t xml:space="preserve"> on the Rise</w:t>
      </w:r>
    </w:p>
    <w:p w14:paraId="541C9340" w14:textId="7DBDAE49" w:rsidR="00461588" w:rsidRPr="00244FFC" w:rsidRDefault="006B2017" w:rsidP="00244FFC">
      <w:r w:rsidRPr="00244FFC">
        <w:rPr>
          <w:sz w:val="24"/>
          <w:szCs w:val="24"/>
        </w:rPr>
        <w:t xml:space="preserve">In 2016, production of arts and cultural commodities (i.e., goods and services) in the United States contributed </w:t>
      </w:r>
      <w:r w:rsidR="00B51563">
        <w:rPr>
          <w:b/>
          <w:sz w:val="24"/>
          <w:szCs w:val="24"/>
        </w:rPr>
        <w:t>$804</w:t>
      </w:r>
      <w:r w:rsidRPr="00615DBD">
        <w:rPr>
          <w:b/>
          <w:sz w:val="24"/>
          <w:szCs w:val="24"/>
        </w:rPr>
        <w:t>.2 billion, or 4.3 percent</w:t>
      </w:r>
      <w:r w:rsidRPr="00244FFC">
        <w:rPr>
          <w:sz w:val="24"/>
          <w:szCs w:val="24"/>
        </w:rPr>
        <w:t>, directly to the nat</w:t>
      </w:r>
      <w:r w:rsidR="00AC22C0">
        <w:rPr>
          <w:sz w:val="24"/>
          <w:szCs w:val="24"/>
        </w:rPr>
        <w:t>ion’s GDP—up from 4.2 percent in 2015</w:t>
      </w:r>
      <w:r w:rsidRPr="00244FFC">
        <w:rPr>
          <w:sz w:val="24"/>
          <w:szCs w:val="24"/>
        </w:rPr>
        <w:t>.</w:t>
      </w:r>
      <w:r w:rsidR="00244FFC" w:rsidRPr="00244FFC">
        <w:rPr>
          <w:sz w:val="24"/>
          <w:szCs w:val="24"/>
        </w:rPr>
        <w:t xml:space="preserve"> </w:t>
      </w:r>
      <w:r w:rsidRPr="00244FFC">
        <w:rPr>
          <w:sz w:val="24"/>
          <w:szCs w:val="24"/>
        </w:rPr>
        <w:t>Also in 2016—the most recent year for which data are available—</w:t>
      </w:r>
      <w:r w:rsidR="00E706E2" w:rsidRPr="00615DBD">
        <w:rPr>
          <w:b/>
          <w:sz w:val="24"/>
          <w:szCs w:val="24"/>
        </w:rPr>
        <w:t xml:space="preserve">over </w:t>
      </w:r>
      <w:r w:rsidR="0083061C" w:rsidRPr="00615DBD">
        <w:rPr>
          <w:b/>
          <w:sz w:val="24"/>
          <w:szCs w:val="24"/>
        </w:rPr>
        <w:t>5</w:t>
      </w:r>
      <w:r w:rsidR="00382EA1" w:rsidRPr="00615DBD">
        <w:rPr>
          <w:b/>
          <w:sz w:val="24"/>
          <w:szCs w:val="24"/>
        </w:rPr>
        <w:t xml:space="preserve"> million wage-and-</w:t>
      </w:r>
      <w:r w:rsidR="00461588" w:rsidRPr="00615DBD">
        <w:rPr>
          <w:b/>
          <w:sz w:val="24"/>
          <w:szCs w:val="24"/>
        </w:rPr>
        <w:t>salary workers</w:t>
      </w:r>
      <w:r w:rsidR="00461588" w:rsidRPr="00244FFC">
        <w:rPr>
          <w:b/>
          <w:sz w:val="24"/>
          <w:szCs w:val="24"/>
        </w:rPr>
        <w:t xml:space="preserve"> </w:t>
      </w:r>
      <w:r w:rsidR="00461588" w:rsidRPr="00244FFC">
        <w:rPr>
          <w:sz w:val="24"/>
          <w:szCs w:val="24"/>
        </w:rPr>
        <w:t>were employed to produce arts and cultural goods and services. Those workers were compensated $</w:t>
      </w:r>
      <w:r w:rsidR="0083061C" w:rsidRPr="00244FFC">
        <w:rPr>
          <w:sz w:val="24"/>
          <w:szCs w:val="24"/>
        </w:rPr>
        <w:t>386</w:t>
      </w:r>
      <w:r w:rsidR="00461588" w:rsidRPr="00244FFC">
        <w:rPr>
          <w:sz w:val="24"/>
          <w:szCs w:val="24"/>
        </w:rPr>
        <w:t xml:space="preserve"> billion</w:t>
      </w:r>
      <w:r w:rsidR="00E706E2" w:rsidRPr="00244FFC">
        <w:rPr>
          <w:sz w:val="24"/>
          <w:szCs w:val="24"/>
        </w:rPr>
        <w:t xml:space="preserve"> in 2016</w:t>
      </w:r>
      <w:r w:rsidR="00461588" w:rsidRPr="00244FFC">
        <w:rPr>
          <w:sz w:val="24"/>
          <w:szCs w:val="24"/>
        </w:rPr>
        <w:t>.</w:t>
      </w:r>
    </w:p>
    <w:p w14:paraId="6749DAC9" w14:textId="66908ECE" w:rsidR="00F32596" w:rsidRPr="00AB727F" w:rsidRDefault="00F32596">
      <w:pPr>
        <w:rPr>
          <w:sz w:val="24"/>
          <w:szCs w:val="24"/>
        </w:rPr>
      </w:pPr>
      <w:r w:rsidRPr="00AB727F">
        <w:rPr>
          <w:sz w:val="24"/>
          <w:szCs w:val="24"/>
        </w:rPr>
        <w:t>The arts contribute more to the U.S. economy than do construction, transportation and warehousing, or a</w:t>
      </w:r>
      <w:r w:rsidR="00461588" w:rsidRPr="00AB727F">
        <w:rPr>
          <w:sz w:val="24"/>
          <w:szCs w:val="24"/>
        </w:rPr>
        <w:t>griculture (</w:t>
      </w:r>
      <w:r w:rsidRPr="00AB727F">
        <w:rPr>
          <w:sz w:val="24"/>
          <w:szCs w:val="24"/>
        </w:rPr>
        <w:t>among other sectors</w:t>
      </w:r>
      <w:r w:rsidR="00461588" w:rsidRPr="00AB727F">
        <w:rPr>
          <w:sz w:val="24"/>
          <w:szCs w:val="24"/>
        </w:rPr>
        <w:t>)</w:t>
      </w:r>
      <w:r w:rsidRPr="00AB727F">
        <w:rPr>
          <w:sz w:val="24"/>
          <w:szCs w:val="24"/>
        </w:rPr>
        <w:t>, and the</w:t>
      </w:r>
      <w:r w:rsidR="00BA7AD0" w:rsidRPr="00AB727F">
        <w:rPr>
          <w:sz w:val="24"/>
          <w:szCs w:val="24"/>
        </w:rPr>
        <w:t xml:space="preserve">y </w:t>
      </w:r>
      <w:r w:rsidR="00461588" w:rsidRPr="00AB727F">
        <w:rPr>
          <w:sz w:val="24"/>
          <w:szCs w:val="24"/>
        </w:rPr>
        <w:t xml:space="preserve">generate a widening </w:t>
      </w:r>
      <w:r w:rsidRPr="00AB727F">
        <w:rPr>
          <w:sz w:val="24"/>
          <w:szCs w:val="24"/>
        </w:rPr>
        <w:t>trade surplus</w:t>
      </w:r>
      <w:r w:rsidR="00461588" w:rsidRPr="00AB727F">
        <w:rPr>
          <w:sz w:val="24"/>
          <w:szCs w:val="24"/>
        </w:rPr>
        <w:t>.</w:t>
      </w:r>
      <w:r w:rsidR="00244FFC">
        <w:rPr>
          <w:sz w:val="24"/>
          <w:szCs w:val="24"/>
        </w:rPr>
        <w:t xml:space="preserve"> From 2006 to 2016, this</w:t>
      </w:r>
      <w:r w:rsidR="00AB727F">
        <w:rPr>
          <w:sz w:val="24"/>
          <w:szCs w:val="24"/>
        </w:rPr>
        <w:t xml:space="preserve"> surplus grew 12-fold, to nearly $25 billion.</w:t>
      </w:r>
    </w:p>
    <w:p w14:paraId="175B3760" w14:textId="24ED55E6" w:rsidR="00F32596" w:rsidRPr="0083061C" w:rsidRDefault="002B29A7">
      <w:pPr>
        <w:rPr>
          <w:sz w:val="24"/>
          <w:szCs w:val="24"/>
        </w:rPr>
      </w:pPr>
      <w:r w:rsidRPr="0083061C">
        <w:rPr>
          <w:sz w:val="24"/>
          <w:szCs w:val="24"/>
        </w:rPr>
        <w:t xml:space="preserve">Below are </w:t>
      </w:r>
      <w:r w:rsidR="00461588" w:rsidRPr="0083061C">
        <w:rPr>
          <w:sz w:val="24"/>
          <w:szCs w:val="24"/>
        </w:rPr>
        <w:t>other summary findings from the 201</w:t>
      </w:r>
      <w:r w:rsidR="00BF50A7">
        <w:rPr>
          <w:sz w:val="24"/>
          <w:szCs w:val="24"/>
        </w:rPr>
        <w:t>6</w:t>
      </w:r>
      <w:r w:rsidR="00461588" w:rsidRPr="0083061C">
        <w:rPr>
          <w:sz w:val="24"/>
          <w:szCs w:val="24"/>
        </w:rPr>
        <w:t xml:space="preserve"> Arts and Cultural Production Satellite Account (ACPSA).</w:t>
      </w:r>
      <w:r w:rsidRPr="0083061C">
        <w:rPr>
          <w:sz w:val="24"/>
          <w:szCs w:val="24"/>
        </w:rPr>
        <w:t xml:space="preserve"> </w:t>
      </w:r>
      <w:r w:rsidR="00331E83" w:rsidRPr="00382EA1">
        <w:rPr>
          <w:i/>
          <w:sz w:val="24"/>
          <w:szCs w:val="24"/>
        </w:rPr>
        <w:t>Click on the topic to go directly to that section of the document</w:t>
      </w:r>
      <w:r w:rsidR="00AB727F">
        <w:rPr>
          <w:sz w:val="24"/>
          <w:szCs w:val="24"/>
        </w:rPr>
        <w:t>.</w:t>
      </w:r>
      <w:r w:rsidR="00BB661A" w:rsidRPr="0083061C">
        <w:rPr>
          <w:sz w:val="24"/>
          <w:szCs w:val="24"/>
        </w:rPr>
        <w:t xml:space="preserve"> </w:t>
      </w:r>
    </w:p>
    <w:p w14:paraId="21681600" w14:textId="46D32260" w:rsidR="00331E83" w:rsidRPr="0083061C" w:rsidRDefault="00626A12" w:rsidP="00B613E4">
      <w:pPr>
        <w:pStyle w:val="ListParagraph"/>
        <w:numPr>
          <w:ilvl w:val="0"/>
          <w:numId w:val="13"/>
        </w:numPr>
        <w:rPr>
          <w:sz w:val="24"/>
          <w:szCs w:val="24"/>
        </w:rPr>
      </w:pPr>
      <w:hyperlink w:anchor="_I._Value_Added" w:history="1">
        <w:r w:rsidR="00331E83" w:rsidRPr="00573E8A">
          <w:rPr>
            <w:rStyle w:val="Hyperlink"/>
            <w:sz w:val="24"/>
            <w:szCs w:val="24"/>
          </w:rPr>
          <w:t>Value Added by Arts and Cultural Industries</w:t>
        </w:r>
      </w:hyperlink>
    </w:p>
    <w:p w14:paraId="3120B35A" w14:textId="1A9A41B1" w:rsidR="003200AA" w:rsidRPr="0083061C" w:rsidRDefault="00626A12" w:rsidP="00B613E4">
      <w:pPr>
        <w:pStyle w:val="ListParagraph"/>
        <w:numPr>
          <w:ilvl w:val="0"/>
          <w:numId w:val="13"/>
        </w:numPr>
        <w:rPr>
          <w:sz w:val="24"/>
          <w:szCs w:val="24"/>
        </w:rPr>
      </w:pPr>
      <w:hyperlink w:anchor="_II._Comparing_Arts" w:history="1">
        <w:r w:rsidR="003200AA" w:rsidRPr="00573E8A">
          <w:rPr>
            <w:rStyle w:val="Hyperlink"/>
            <w:sz w:val="24"/>
            <w:szCs w:val="24"/>
          </w:rPr>
          <w:t>Comparing Arts and Culture with Other Sectors of the Economy</w:t>
        </w:r>
      </w:hyperlink>
    </w:p>
    <w:p w14:paraId="4E8D43C2" w14:textId="7F8A89BD" w:rsidR="003200AA" w:rsidRPr="0083061C" w:rsidRDefault="00626A12" w:rsidP="00B613E4">
      <w:pPr>
        <w:pStyle w:val="ListParagraph"/>
        <w:numPr>
          <w:ilvl w:val="0"/>
          <w:numId w:val="13"/>
        </w:numPr>
        <w:rPr>
          <w:sz w:val="24"/>
          <w:szCs w:val="24"/>
        </w:rPr>
      </w:pPr>
      <w:hyperlink w:anchor="_III._Trends_in" w:history="1">
        <w:r w:rsidR="003200AA" w:rsidRPr="00573E8A">
          <w:rPr>
            <w:rStyle w:val="Hyperlink"/>
            <w:sz w:val="24"/>
            <w:szCs w:val="24"/>
          </w:rPr>
          <w:t>Trends in Arts and Cultural Production</w:t>
        </w:r>
      </w:hyperlink>
    </w:p>
    <w:p w14:paraId="1C6D4EEF" w14:textId="0BBB087F" w:rsidR="003200AA" w:rsidRPr="0083061C" w:rsidRDefault="00626A12" w:rsidP="00B613E4">
      <w:pPr>
        <w:pStyle w:val="ListParagraph"/>
        <w:numPr>
          <w:ilvl w:val="0"/>
          <w:numId w:val="13"/>
        </w:numPr>
        <w:rPr>
          <w:sz w:val="24"/>
          <w:szCs w:val="24"/>
        </w:rPr>
      </w:pPr>
      <w:hyperlink w:anchor="_IV._Workers_Engaged" w:history="1">
        <w:r w:rsidR="003200AA" w:rsidRPr="00573E8A">
          <w:rPr>
            <w:rStyle w:val="Hyperlink"/>
            <w:sz w:val="24"/>
            <w:szCs w:val="24"/>
          </w:rPr>
          <w:t>Workers Engaged in Arts and Cultural Production</w:t>
        </w:r>
      </w:hyperlink>
    </w:p>
    <w:p w14:paraId="2879D80E" w14:textId="099E9EA9" w:rsidR="003200AA" w:rsidRPr="0083061C" w:rsidRDefault="00626A12" w:rsidP="00B613E4">
      <w:pPr>
        <w:pStyle w:val="ListParagraph"/>
        <w:numPr>
          <w:ilvl w:val="0"/>
          <w:numId w:val="13"/>
        </w:numPr>
        <w:rPr>
          <w:sz w:val="24"/>
          <w:szCs w:val="24"/>
        </w:rPr>
      </w:pPr>
      <w:hyperlink w:anchor="_V._Consumer_Spending" w:history="1">
        <w:r w:rsidR="003200AA" w:rsidRPr="00573E8A">
          <w:rPr>
            <w:rStyle w:val="Hyperlink"/>
            <w:sz w:val="24"/>
            <w:szCs w:val="24"/>
          </w:rPr>
          <w:t>Consumer Spending on Admissions to Performing Arts Events</w:t>
        </w:r>
      </w:hyperlink>
    </w:p>
    <w:p w14:paraId="65625186" w14:textId="03A85DF2" w:rsidR="003200AA" w:rsidRPr="0083061C" w:rsidRDefault="00626A12" w:rsidP="00B613E4">
      <w:pPr>
        <w:pStyle w:val="ListParagraph"/>
        <w:numPr>
          <w:ilvl w:val="0"/>
          <w:numId w:val="13"/>
        </w:numPr>
        <w:rPr>
          <w:sz w:val="24"/>
          <w:szCs w:val="24"/>
        </w:rPr>
      </w:pPr>
      <w:hyperlink w:anchor="_VI._Arts_and" w:history="1">
        <w:r w:rsidR="00570CD6" w:rsidRPr="00573E8A">
          <w:rPr>
            <w:rStyle w:val="Hyperlink"/>
            <w:sz w:val="24"/>
            <w:szCs w:val="24"/>
          </w:rPr>
          <w:t>Arts and Cultural Contributions to the Creative Economy</w:t>
        </w:r>
      </w:hyperlink>
    </w:p>
    <w:p w14:paraId="07DE639D" w14:textId="32B8E6EE" w:rsidR="00570CD6" w:rsidRPr="0083061C" w:rsidRDefault="00626A12" w:rsidP="00B613E4">
      <w:pPr>
        <w:pStyle w:val="ListParagraph"/>
        <w:numPr>
          <w:ilvl w:val="0"/>
          <w:numId w:val="13"/>
        </w:numPr>
        <w:rPr>
          <w:sz w:val="24"/>
          <w:szCs w:val="24"/>
        </w:rPr>
      </w:pPr>
      <w:hyperlink w:anchor="_VII._Exports_of" w:history="1">
        <w:r w:rsidR="00BA7AD0" w:rsidRPr="00573E8A">
          <w:rPr>
            <w:rStyle w:val="Hyperlink"/>
            <w:sz w:val="24"/>
            <w:szCs w:val="24"/>
          </w:rPr>
          <w:t>Exports of Arts and Cultural Goods and Services</w:t>
        </w:r>
      </w:hyperlink>
    </w:p>
    <w:p w14:paraId="13EB457F" w14:textId="77777777" w:rsidR="00461588" w:rsidRDefault="00461588" w:rsidP="00E766E9">
      <w:pPr>
        <w:jc w:val="center"/>
        <w:rPr>
          <w:b/>
          <w:sz w:val="24"/>
          <w:szCs w:val="24"/>
        </w:rPr>
      </w:pPr>
    </w:p>
    <w:p w14:paraId="43D5C32C" w14:textId="76A0024F" w:rsidR="00C37832" w:rsidRPr="005B4D0C" w:rsidRDefault="00EF102D" w:rsidP="005B4D0C">
      <w:pPr>
        <w:pStyle w:val="Heading1"/>
        <w:jc w:val="center"/>
        <w:rPr>
          <w:rFonts w:asciiTheme="minorHAnsi" w:hAnsiTheme="minorHAnsi" w:cstheme="minorHAnsi"/>
          <w:b/>
          <w:color w:val="auto"/>
          <w:sz w:val="24"/>
          <w:szCs w:val="24"/>
        </w:rPr>
      </w:pPr>
      <w:bookmarkStart w:id="0" w:name="_I._Value_Added"/>
      <w:bookmarkEnd w:id="0"/>
      <w:r w:rsidRPr="005B4D0C">
        <w:rPr>
          <w:rFonts w:asciiTheme="minorHAnsi" w:hAnsiTheme="minorHAnsi" w:cstheme="minorHAnsi"/>
          <w:b/>
          <w:color w:val="auto"/>
          <w:sz w:val="24"/>
          <w:szCs w:val="24"/>
        </w:rPr>
        <w:t xml:space="preserve">I. </w:t>
      </w:r>
      <w:r w:rsidR="00E766E9" w:rsidRPr="005B4D0C">
        <w:rPr>
          <w:rFonts w:asciiTheme="minorHAnsi" w:hAnsiTheme="minorHAnsi" w:cstheme="minorHAnsi"/>
          <w:b/>
          <w:color w:val="auto"/>
          <w:sz w:val="24"/>
          <w:szCs w:val="24"/>
        </w:rPr>
        <w:t>Value Added by Arts and Cultural Industries</w:t>
      </w:r>
    </w:p>
    <w:p w14:paraId="7AAD4500" w14:textId="04AA6EC0" w:rsidR="00C37832" w:rsidRPr="00E766E9" w:rsidRDefault="00C37832" w:rsidP="00E766E9">
      <w:pPr>
        <w:pStyle w:val="ListParagraph"/>
        <w:numPr>
          <w:ilvl w:val="0"/>
          <w:numId w:val="3"/>
        </w:numPr>
        <w:rPr>
          <w:sz w:val="24"/>
          <w:szCs w:val="24"/>
        </w:rPr>
      </w:pPr>
      <w:r w:rsidRPr="00E766E9">
        <w:rPr>
          <w:sz w:val="24"/>
          <w:szCs w:val="24"/>
        </w:rPr>
        <w:t>In 201</w:t>
      </w:r>
      <w:r w:rsidR="002F3D72">
        <w:rPr>
          <w:sz w:val="24"/>
          <w:szCs w:val="24"/>
        </w:rPr>
        <w:t>6</w:t>
      </w:r>
      <w:r w:rsidRPr="00E766E9">
        <w:rPr>
          <w:sz w:val="24"/>
          <w:szCs w:val="24"/>
        </w:rPr>
        <w:t xml:space="preserve">, arts and cultural production contributed </w:t>
      </w:r>
      <w:r w:rsidRPr="00F32596">
        <w:rPr>
          <w:sz w:val="24"/>
          <w:szCs w:val="24"/>
        </w:rPr>
        <w:t>$</w:t>
      </w:r>
      <w:r w:rsidR="00557E73">
        <w:rPr>
          <w:sz w:val="24"/>
          <w:szCs w:val="24"/>
        </w:rPr>
        <w:t>804.2</w:t>
      </w:r>
      <w:r w:rsidRPr="00F32596">
        <w:rPr>
          <w:sz w:val="24"/>
          <w:szCs w:val="24"/>
        </w:rPr>
        <w:t xml:space="preserve"> billion</w:t>
      </w:r>
      <w:r w:rsidRPr="00E766E9">
        <w:rPr>
          <w:sz w:val="24"/>
          <w:szCs w:val="24"/>
        </w:rPr>
        <w:t xml:space="preserve"> to the U.S. economy.</w:t>
      </w:r>
    </w:p>
    <w:p w14:paraId="643CFEEB" w14:textId="475C9157" w:rsidR="00C37832" w:rsidRDefault="00C84BA8" w:rsidP="00C37832">
      <w:pPr>
        <w:pStyle w:val="ListParagraph"/>
        <w:numPr>
          <w:ilvl w:val="0"/>
          <w:numId w:val="1"/>
        </w:numPr>
        <w:rPr>
          <w:sz w:val="24"/>
          <w:szCs w:val="24"/>
        </w:rPr>
      </w:pPr>
      <w:r>
        <w:rPr>
          <w:sz w:val="24"/>
          <w:szCs w:val="24"/>
        </w:rPr>
        <w:t>T</w:t>
      </w:r>
      <w:r w:rsidR="008D196F">
        <w:rPr>
          <w:sz w:val="24"/>
          <w:szCs w:val="24"/>
        </w:rPr>
        <w:t>hat production amounted to</w:t>
      </w:r>
      <w:r>
        <w:rPr>
          <w:sz w:val="24"/>
          <w:szCs w:val="24"/>
        </w:rPr>
        <w:t xml:space="preserve"> </w:t>
      </w:r>
      <w:r w:rsidR="00C37832">
        <w:rPr>
          <w:sz w:val="24"/>
          <w:szCs w:val="24"/>
        </w:rPr>
        <w:t>4.</w:t>
      </w:r>
      <w:r w:rsidR="00557E73">
        <w:rPr>
          <w:sz w:val="24"/>
          <w:szCs w:val="24"/>
        </w:rPr>
        <w:t>3</w:t>
      </w:r>
      <w:r w:rsidR="00C37832">
        <w:rPr>
          <w:sz w:val="24"/>
          <w:szCs w:val="24"/>
        </w:rPr>
        <w:t xml:space="preserve"> percent of U.S. GDP</w:t>
      </w:r>
      <w:r w:rsidR="00E706E2">
        <w:rPr>
          <w:sz w:val="24"/>
          <w:szCs w:val="24"/>
        </w:rPr>
        <w:t>, up from 4.2 percent in the previous year.</w:t>
      </w:r>
    </w:p>
    <w:p w14:paraId="130C6932" w14:textId="77777777" w:rsidR="00C37832" w:rsidRPr="00E766E9" w:rsidRDefault="00A63A1C" w:rsidP="00E766E9">
      <w:pPr>
        <w:pStyle w:val="ListParagraph"/>
        <w:numPr>
          <w:ilvl w:val="0"/>
          <w:numId w:val="3"/>
        </w:numPr>
        <w:rPr>
          <w:sz w:val="24"/>
          <w:szCs w:val="24"/>
        </w:rPr>
      </w:pPr>
      <w:r w:rsidRPr="00E766E9">
        <w:rPr>
          <w:sz w:val="24"/>
          <w:szCs w:val="24"/>
        </w:rPr>
        <w:t>Six detailed industries emerge as top contributors to the total economic value ad</w:t>
      </w:r>
      <w:r w:rsidR="0085504E">
        <w:rPr>
          <w:sz w:val="24"/>
          <w:szCs w:val="24"/>
        </w:rPr>
        <w:t>ded by arts and culture:</w:t>
      </w:r>
    </w:p>
    <w:p w14:paraId="5E2C6540" w14:textId="63B82F03" w:rsidR="00A63A1C" w:rsidRDefault="0085504E" w:rsidP="00795C28">
      <w:pPr>
        <w:pStyle w:val="ListParagraph"/>
        <w:numPr>
          <w:ilvl w:val="0"/>
          <w:numId w:val="1"/>
        </w:numPr>
        <w:rPr>
          <w:sz w:val="24"/>
          <w:szCs w:val="24"/>
        </w:rPr>
      </w:pPr>
      <w:r>
        <w:rPr>
          <w:sz w:val="24"/>
          <w:szCs w:val="24"/>
        </w:rPr>
        <w:t>B</w:t>
      </w:r>
      <w:r w:rsidR="00A63A1C" w:rsidRPr="00A63A1C">
        <w:rPr>
          <w:sz w:val="24"/>
          <w:szCs w:val="24"/>
        </w:rPr>
        <w:t xml:space="preserve">roadcasting (excluding sports); motion picture industries; publishing (excluding Internet); arts-related retail trade; </w:t>
      </w:r>
      <w:r w:rsidR="00A63A1C">
        <w:rPr>
          <w:sz w:val="24"/>
          <w:szCs w:val="24"/>
        </w:rPr>
        <w:t xml:space="preserve">“other information services” (an industry </w:t>
      </w:r>
      <w:r w:rsidR="00645C19">
        <w:rPr>
          <w:sz w:val="24"/>
          <w:szCs w:val="24"/>
        </w:rPr>
        <w:t xml:space="preserve">that includes </w:t>
      </w:r>
      <w:r w:rsidR="00A63A1C">
        <w:rPr>
          <w:sz w:val="24"/>
          <w:szCs w:val="24"/>
        </w:rPr>
        <w:t>Internet publishing and broadcasting/streaming); and performing arts companies and independent artists, writers, and performers.</w:t>
      </w:r>
    </w:p>
    <w:p w14:paraId="68352A07" w14:textId="77777777" w:rsidR="00E766E9" w:rsidRPr="00E766E9" w:rsidRDefault="00E766E9" w:rsidP="00E766E9">
      <w:pPr>
        <w:rPr>
          <w:sz w:val="24"/>
          <w:szCs w:val="24"/>
        </w:rPr>
      </w:pPr>
    </w:p>
    <w:p w14:paraId="5A9A5051" w14:textId="7D8489A9" w:rsidR="00A63A1C" w:rsidRDefault="002B487D" w:rsidP="00A63A1C">
      <w:pPr>
        <w:rPr>
          <w:sz w:val="24"/>
          <w:szCs w:val="24"/>
        </w:rPr>
      </w:pPr>
      <w:r w:rsidRPr="002B487D">
        <w:rPr>
          <w:noProof/>
        </w:rPr>
        <w:lastRenderedPageBreak/>
        <w:drawing>
          <wp:inline distT="0" distB="0" distL="0" distR="0" wp14:anchorId="09FB0D8A" wp14:editId="344C8097">
            <wp:extent cx="6438900" cy="54489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9005" cy="5449024"/>
                    </a:xfrm>
                    <a:prstGeom prst="rect">
                      <a:avLst/>
                    </a:prstGeom>
                    <a:noFill/>
                    <a:ln>
                      <a:noFill/>
                    </a:ln>
                  </pic:spPr>
                </pic:pic>
              </a:graphicData>
            </a:graphic>
          </wp:inline>
        </w:drawing>
      </w:r>
    </w:p>
    <w:p w14:paraId="6D082457" w14:textId="5CFD777F" w:rsidR="0085504E" w:rsidRDefault="00151447" w:rsidP="00795C28">
      <w:pPr>
        <w:pStyle w:val="ListParagraph"/>
        <w:numPr>
          <w:ilvl w:val="0"/>
          <w:numId w:val="3"/>
        </w:numPr>
        <w:rPr>
          <w:sz w:val="24"/>
          <w:szCs w:val="24"/>
        </w:rPr>
      </w:pPr>
      <w:r>
        <w:rPr>
          <w:sz w:val="24"/>
          <w:szCs w:val="24"/>
        </w:rPr>
        <w:t xml:space="preserve">Arts education accounted for over half (52.5%) of the total economic value of arts and cultural goods and services </w:t>
      </w:r>
      <w:r w:rsidR="000A69B5">
        <w:rPr>
          <w:sz w:val="24"/>
          <w:szCs w:val="24"/>
        </w:rPr>
        <w:t>that</w:t>
      </w:r>
      <w:r>
        <w:rPr>
          <w:sz w:val="24"/>
          <w:szCs w:val="24"/>
        </w:rPr>
        <w:t xml:space="preserve"> federal, state, </w:t>
      </w:r>
      <w:r w:rsidR="000A69B5">
        <w:rPr>
          <w:sz w:val="24"/>
          <w:szCs w:val="24"/>
        </w:rPr>
        <w:t>and</w:t>
      </w:r>
      <w:r>
        <w:rPr>
          <w:sz w:val="24"/>
          <w:szCs w:val="24"/>
        </w:rPr>
        <w:t xml:space="preserve"> local</w:t>
      </w:r>
      <w:r w:rsidR="000A69B5">
        <w:rPr>
          <w:sz w:val="24"/>
          <w:szCs w:val="24"/>
        </w:rPr>
        <w:t xml:space="preserve"> government produced</w:t>
      </w:r>
      <w:r>
        <w:rPr>
          <w:sz w:val="24"/>
          <w:szCs w:val="24"/>
        </w:rPr>
        <w:t xml:space="preserve"> in 2016.</w:t>
      </w:r>
    </w:p>
    <w:p w14:paraId="6C67138A" w14:textId="15B493A7" w:rsidR="00795C28" w:rsidRDefault="006B7298" w:rsidP="00D77DA9">
      <w:pPr>
        <w:pStyle w:val="ListParagraph"/>
        <w:numPr>
          <w:ilvl w:val="1"/>
          <w:numId w:val="3"/>
        </w:numPr>
        <w:ind w:left="1080"/>
        <w:rPr>
          <w:sz w:val="24"/>
          <w:szCs w:val="24"/>
        </w:rPr>
      </w:pPr>
      <w:r>
        <w:rPr>
          <w:sz w:val="24"/>
          <w:szCs w:val="24"/>
        </w:rPr>
        <w:t>In the table below, t</w:t>
      </w:r>
      <w:r w:rsidR="00244FFC">
        <w:rPr>
          <w:sz w:val="24"/>
          <w:szCs w:val="24"/>
        </w:rPr>
        <w:t>he term “educational services”</w:t>
      </w:r>
      <w:r w:rsidR="00E706E2">
        <w:rPr>
          <w:sz w:val="24"/>
          <w:szCs w:val="24"/>
        </w:rPr>
        <w:t xml:space="preserve"> denotes </w:t>
      </w:r>
      <w:r w:rsidR="00665BA4">
        <w:rPr>
          <w:sz w:val="24"/>
          <w:szCs w:val="24"/>
        </w:rPr>
        <w:t xml:space="preserve">visual and performing arts education at </w:t>
      </w:r>
      <w:r w:rsidR="00665BA4" w:rsidRPr="00151447">
        <w:rPr>
          <w:i/>
          <w:sz w:val="24"/>
          <w:szCs w:val="24"/>
        </w:rPr>
        <w:t>public</w:t>
      </w:r>
      <w:r w:rsidR="00665BA4">
        <w:rPr>
          <w:sz w:val="24"/>
          <w:szCs w:val="24"/>
        </w:rPr>
        <w:t xml:space="preserve"> primary and secondary schools and colleges and universities.</w:t>
      </w:r>
    </w:p>
    <w:p w14:paraId="1E7E2A47" w14:textId="22276B46" w:rsidR="002B3D06" w:rsidRDefault="002B487D" w:rsidP="008C78EF">
      <w:pPr>
        <w:pStyle w:val="ListParagraph"/>
        <w:numPr>
          <w:ilvl w:val="2"/>
          <w:numId w:val="3"/>
        </w:numPr>
        <w:ind w:left="1915" w:hanging="187"/>
        <w:rPr>
          <w:sz w:val="24"/>
          <w:szCs w:val="24"/>
        </w:rPr>
      </w:pPr>
      <w:r>
        <w:rPr>
          <w:sz w:val="24"/>
          <w:szCs w:val="24"/>
        </w:rPr>
        <w:t>R</w:t>
      </w:r>
      <w:r w:rsidR="00244FFC" w:rsidRPr="003B07ED">
        <w:rPr>
          <w:sz w:val="24"/>
          <w:szCs w:val="24"/>
        </w:rPr>
        <w:t xml:space="preserve">ecent data from the ACPSA </w:t>
      </w:r>
      <w:r w:rsidR="00244FFC">
        <w:rPr>
          <w:sz w:val="24"/>
          <w:szCs w:val="24"/>
        </w:rPr>
        <w:t>suggest</w:t>
      </w:r>
      <w:r w:rsidR="00244FFC" w:rsidRPr="003B07ED">
        <w:rPr>
          <w:sz w:val="24"/>
          <w:szCs w:val="24"/>
        </w:rPr>
        <w:t xml:space="preserve"> that the</w:t>
      </w:r>
      <w:r w:rsidR="00244FFC">
        <w:rPr>
          <w:sz w:val="24"/>
          <w:szCs w:val="24"/>
        </w:rPr>
        <w:t xml:space="preserve"> provision of</w:t>
      </w:r>
      <w:r w:rsidR="00151447">
        <w:rPr>
          <w:sz w:val="24"/>
          <w:szCs w:val="24"/>
        </w:rPr>
        <w:t xml:space="preserve"> </w:t>
      </w:r>
      <w:r w:rsidR="00151447" w:rsidRPr="000A69B5">
        <w:rPr>
          <w:i/>
          <w:sz w:val="24"/>
          <w:szCs w:val="24"/>
        </w:rPr>
        <w:t>all</w:t>
      </w:r>
      <w:r w:rsidR="00244FFC" w:rsidRPr="000A69B5">
        <w:rPr>
          <w:i/>
          <w:sz w:val="24"/>
          <w:szCs w:val="24"/>
        </w:rPr>
        <w:t xml:space="preserve"> </w:t>
      </w:r>
      <w:r w:rsidR="00244FFC">
        <w:rPr>
          <w:sz w:val="24"/>
          <w:szCs w:val="24"/>
        </w:rPr>
        <w:t>school-based</w:t>
      </w:r>
      <w:r w:rsidR="00244FFC" w:rsidRPr="003B07ED">
        <w:rPr>
          <w:sz w:val="24"/>
          <w:szCs w:val="24"/>
        </w:rPr>
        <w:t xml:space="preserve"> arts education (in </w:t>
      </w:r>
      <w:r w:rsidR="00244FFC" w:rsidRPr="000A69B5">
        <w:rPr>
          <w:sz w:val="24"/>
          <w:szCs w:val="24"/>
        </w:rPr>
        <w:t xml:space="preserve">both </w:t>
      </w:r>
      <w:r w:rsidR="00244FFC" w:rsidRPr="003B07ED">
        <w:rPr>
          <w:sz w:val="24"/>
          <w:szCs w:val="24"/>
        </w:rPr>
        <w:t xml:space="preserve">public and private schools) </w:t>
      </w:r>
      <w:r w:rsidR="00244FFC" w:rsidRPr="008E4E85">
        <w:rPr>
          <w:sz w:val="24"/>
          <w:szCs w:val="24"/>
        </w:rPr>
        <w:t>is stabilizing</w:t>
      </w:r>
      <w:r>
        <w:rPr>
          <w:sz w:val="24"/>
          <w:szCs w:val="24"/>
        </w:rPr>
        <w:t>, after steadily falling throughout much of the 2000s</w:t>
      </w:r>
      <w:r w:rsidR="00244FFC" w:rsidRPr="008E4E85">
        <w:rPr>
          <w:sz w:val="24"/>
          <w:szCs w:val="24"/>
        </w:rPr>
        <w:t>.</w:t>
      </w:r>
      <w:r w:rsidR="00B9095B">
        <w:rPr>
          <w:rStyle w:val="EndnoteReference"/>
          <w:sz w:val="24"/>
          <w:szCs w:val="24"/>
        </w:rPr>
        <w:endnoteReference w:id="1"/>
      </w:r>
    </w:p>
    <w:p w14:paraId="55E818DC" w14:textId="26E9E3B6" w:rsidR="001E0D9D" w:rsidRDefault="001E0D9D" w:rsidP="008E4E85">
      <w:pPr>
        <w:pStyle w:val="ListParagraph"/>
        <w:numPr>
          <w:ilvl w:val="2"/>
          <w:numId w:val="3"/>
        </w:numPr>
        <w:ind w:left="1915" w:hanging="187"/>
        <w:rPr>
          <w:sz w:val="24"/>
          <w:szCs w:val="24"/>
        </w:rPr>
      </w:pPr>
      <w:r>
        <w:rPr>
          <w:sz w:val="24"/>
          <w:szCs w:val="24"/>
        </w:rPr>
        <w:t>In 201</w:t>
      </w:r>
      <w:r w:rsidR="00FB175C">
        <w:rPr>
          <w:sz w:val="24"/>
          <w:szCs w:val="24"/>
        </w:rPr>
        <w:t>6</w:t>
      </w:r>
      <w:r>
        <w:rPr>
          <w:sz w:val="24"/>
          <w:szCs w:val="24"/>
        </w:rPr>
        <w:t>, production</w:t>
      </w:r>
      <w:r w:rsidR="00244FFC">
        <w:rPr>
          <w:sz w:val="24"/>
          <w:szCs w:val="24"/>
        </w:rPr>
        <w:t xml:space="preserve"> of </w:t>
      </w:r>
      <w:r w:rsidR="00151447">
        <w:rPr>
          <w:sz w:val="24"/>
          <w:szCs w:val="24"/>
        </w:rPr>
        <w:t xml:space="preserve">school-based </w:t>
      </w:r>
      <w:r w:rsidR="00244FFC">
        <w:rPr>
          <w:sz w:val="24"/>
          <w:szCs w:val="24"/>
        </w:rPr>
        <w:t>arts education</w:t>
      </w:r>
      <w:r>
        <w:rPr>
          <w:sz w:val="24"/>
          <w:szCs w:val="24"/>
        </w:rPr>
        <w:t xml:space="preserve"> </w:t>
      </w:r>
      <w:r w:rsidR="00151447">
        <w:rPr>
          <w:sz w:val="24"/>
          <w:szCs w:val="24"/>
        </w:rPr>
        <w:t xml:space="preserve">(whether public </w:t>
      </w:r>
      <w:r w:rsidR="00151447" w:rsidRPr="00151447">
        <w:rPr>
          <w:i/>
          <w:sz w:val="24"/>
          <w:szCs w:val="24"/>
        </w:rPr>
        <w:t>or</w:t>
      </w:r>
      <w:r w:rsidR="00151447">
        <w:rPr>
          <w:sz w:val="24"/>
          <w:szCs w:val="24"/>
        </w:rPr>
        <w:t xml:space="preserve"> private) </w:t>
      </w:r>
      <w:r>
        <w:rPr>
          <w:sz w:val="24"/>
          <w:szCs w:val="24"/>
        </w:rPr>
        <w:t>reached $111.2 billion, a level slightly greater than in 201</w:t>
      </w:r>
      <w:r w:rsidR="00FB175C">
        <w:rPr>
          <w:sz w:val="24"/>
          <w:szCs w:val="24"/>
        </w:rPr>
        <w:t>5</w:t>
      </w:r>
      <w:r>
        <w:rPr>
          <w:sz w:val="24"/>
          <w:szCs w:val="24"/>
        </w:rPr>
        <w:t>, after adjusting for inflation.</w:t>
      </w:r>
      <w:r>
        <w:rPr>
          <w:rStyle w:val="EndnoteReference"/>
          <w:sz w:val="24"/>
          <w:szCs w:val="24"/>
        </w:rPr>
        <w:endnoteReference w:id="2"/>
      </w:r>
    </w:p>
    <w:p w14:paraId="23914701" w14:textId="590F1FCF" w:rsidR="00B613E4" w:rsidRDefault="002B487D" w:rsidP="00B613E4">
      <w:pPr>
        <w:rPr>
          <w:sz w:val="24"/>
          <w:szCs w:val="24"/>
        </w:rPr>
      </w:pPr>
      <w:r w:rsidRPr="002B487D">
        <w:rPr>
          <w:noProof/>
        </w:rPr>
        <w:lastRenderedPageBreak/>
        <w:drawing>
          <wp:inline distT="0" distB="0" distL="0" distR="0" wp14:anchorId="22541B65" wp14:editId="5A10FEE3">
            <wp:extent cx="5562600" cy="32861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62600" cy="3286125"/>
                    </a:xfrm>
                    <a:prstGeom prst="rect">
                      <a:avLst/>
                    </a:prstGeom>
                    <a:noFill/>
                    <a:ln>
                      <a:noFill/>
                    </a:ln>
                  </pic:spPr>
                </pic:pic>
              </a:graphicData>
            </a:graphic>
          </wp:inline>
        </w:drawing>
      </w:r>
    </w:p>
    <w:p w14:paraId="3B4EC62F" w14:textId="77777777" w:rsidR="008E4E85" w:rsidRPr="00B613E4" w:rsidRDefault="008E4E85" w:rsidP="00B613E4">
      <w:pPr>
        <w:rPr>
          <w:sz w:val="24"/>
          <w:szCs w:val="24"/>
        </w:rPr>
      </w:pPr>
    </w:p>
    <w:p w14:paraId="5894DC32" w14:textId="7993BD4C" w:rsidR="008C78EF" w:rsidRDefault="00B9095B" w:rsidP="00B613E4">
      <w:pPr>
        <w:rPr>
          <w:sz w:val="24"/>
          <w:szCs w:val="24"/>
        </w:rPr>
      </w:pPr>
      <w:r>
        <w:rPr>
          <w:noProof/>
        </w:rPr>
        <w:drawing>
          <wp:inline distT="0" distB="0" distL="0" distR="0" wp14:anchorId="33D1F9C8" wp14:editId="1001E0AA">
            <wp:extent cx="5943600" cy="4357370"/>
            <wp:effectExtent l="0" t="0" r="0" b="50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63CC267" w14:textId="60289C44" w:rsidR="008C78EF" w:rsidRPr="00573E8A" w:rsidRDefault="00EF102D" w:rsidP="00573E8A">
      <w:pPr>
        <w:pStyle w:val="Heading1"/>
        <w:jc w:val="center"/>
        <w:rPr>
          <w:rFonts w:asciiTheme="minorHAnsi" w:hAnsiTheme="minorHAnsi" w:cstheme="minorHAnsi"/>
          <w:b/>
          <w:color w:val="auto"/>
          <w:sz w:val="24"/>
          <w:szCs w:val="24"/>
        </w:rPr>
      </w:pPr>
      <w:bookmarkStart w:id="1" w:name="_II._Comparing_Arts"/>
      <w:bookmarkEnd w:id="1"/>
      <w:r w:rsidRPr="00573E8A">
        <w:rPr>
          <w:rFonts w:asciiTheme="minorHAnsi" w:hAnsiTheme="minorHAnsi" w:cstheme="minorHAnsi"/>
          <w:b/>
          <w:color w:val="auto"/>
          <w:sz w:val="24"/>
          <w:szCs w:val="24"/>
        </w:rPr>
        <w:lastRenderedPageBreak/>
        <w:t xml:space="preserve">II. </w:t>
      </w:r>
      <w:r w:rsidR="00D77DA9" w:rsidRPr="00573E8A">
        <w:rPr>
          <w:rFonts w:asciiTheme="minorHAnsi" w:hAnsiTheme="minorHAnsi" w:cstheme="minorHAnsi"/>
          <w:b/>
          <w:color w:val="auto"/>
          <w:sz w:val="24"/>
          <w:szCs w:val="24"/>
        </w:rPr>
        <w:t>Comparing Arts and Culture with</w:t>
      </w:r>
      <w:r w:rsidR="008D196F" w:rsidRPr="00573E8A">
        <w:rPr>
          <w:rFonts w:asciiTheme="minorHAnsi" w:hAnsiTheme="minorHAnsi" w:cstheme="minorHAnsi"/>
          <w:b/>
          <w:color w:val="auto"/>
          <w:sz w:val="24"/>
          <w:szCs w:val="24"/>
        </w:rPr>
        <w:t xml:space="preserve"> Other Sectors of the Economy</w:t>
      </w:r>
    </w:p>
    <w:p w14:paraId="33FAA97C" w14:textId="3436D2AD" w:rsidR="008D196F" w:rsidRDefault="00BB78B0" w:rsidP="00D77DA9">
      <w:pPr>
        <w:pStyle w:val="ListParagraph"/>
        <w:numPr>
          <w:ilvl w:val="0"/>
          <w:numId w:val="4"/>
        </w:numPr>
        <w:rPr>
          <w:sz w:val="24"/>
          <w:szCs w:val="24"/>
        </w:rPr>
      </w:pPr>
      <w:r>
        <w:rPr>
          <w:sz w:val="24"/>
          <w:szCs w:val="24"/>
        </w:rPr>
        <w:t>A</w:t>
      </w:r>
      <w:r w:rsidR="00D77DA9">
        <w:rPr>
          <w:sz w:val="24"/>
          <w:szCs w:val="24"/>
        </w:rPr>
        <w:t>rts and culture surpasses a number of other sectors such as construction, transportation and warehousing, and agriculture (including forestry, fishing, and hunting).</w:t>
      </w:r>
      <w:r w:rsidR="001B40A4">
        <w:rPr>
          <w:rStyle w:val="EndnoteReference"/>
          <w:sz w:val="24"/>
          <w:szCs w:val="24"/>
        </w:rPr>
        <w:endnoteReference w:id="3"/>
      </w:r>
    </w:p>
    <w:p w14:paraId="3244B923" w14:textId="4B6AFF92" w:rsidR="00D77DA9" w:rsidRDefault="00D77DA9" w:rsidP="00D77DA9">
      <w:pPr>
        <w:pStyle w:val="ListParagraph"/>
        <w:numPr>
          <w:ilvl w:val="1"/>
          <w:numId w:val="4"/>
        </w:numPr>
        <w:ind w:left="1080"/>
        <w:rPr>
          <w:sz w:val="24"/>
          <w:szCs w:val="24"/>
        </w:rPr>
      </w:pPr>
      <w:r>
        <w:rPr>
          <w:sz w:val="24"/>
          <w:szCs w:val="24"/>
        </w:rPr>
        <w:t>Arts and cultural value</w:t>
      </w:r>
      <w:r w:rsidR="00D70C44">
        <w:rPr>
          <w:sz w:val="24"/>
          <w:szCs w:val="24"/>
        </w:rPr>
        <w:t xml:space="preserve"> </w:t>
      </w:r>
      <w:r>
        <w:rPr>
          <w:sz w:val="24"/>
          <w:szCs w:val="24"/>
        </w:rPr>
        <w:t xml:space="preserve">added is </w:t>
      </w:r>
      <w:r w:rsidR="00200EC4">
        <w:rPr>
          <w:sz w:val="24"/>
          <w:szCs w:val="24"/>
        </w:rPr>
        <w:t>nearly 5</w:t>
      </w:r>
      <w:r>
        <w:rPr>
          <w:sz w:val="24"/>
          <w:szCs w:val="24"/>
        </w:rPr>
        <w:t xml:space="preserve"> times greater than that of the agricultur</w:t>
      </w:r>
      <w:r w:rsidR="00A50613">
        <w:rPr>
          <w:sz w:val="24"/>
          <w:szCs w:val="24"/>
        </w:rPr>
        <w:t>al</w:t>
      </w:r>
      <w:r>
        <w:rPr>
          <w:sz w:val="24"/>
          <w:szCs w:val="24"/>
        </w:rPr>
        <w:t xml:space="preserve"> sector.</w:t>
      </w:r>
    </w:p>
    <w:p w14:paraId="117F4B4F" w14:textId="03F5992E" w:rsidR="00D77DA9" w:rsidRPr="00D77DA9" w:rsidRDefault="00D77DA9" w:rsidP="00D77DA9">
      <w:pPr>
        <w:pStyle w:val="ListParagraph"/>
        <w:numPr>
          <w:ilvl w:val="1"/>
          <w:numId w:val="4"/>
        </w:numPr>
        <w:ind w:left="1080"/>
        <w:rPr>
          <w:sz w:val="24"/>
          <w:szCs w:val="24"/>
        </w:rPr>
      </w:pPr>
      <w:r>
        <w:rPr>
          <w:sz w:val="24"/>
          <w:szCs w:val="24"/>
        </w:rPr>
        <w:t>Arts and cultur</w:t>
      </w:r>
      <w:r w:rsidR="00AB4CC6">
        <w:rPr>
          <w:sz w:val="24"/>
          <w:szCs w:val="24"/>
        </w:rPr>
        <w:t>e</w:t>
      </w:r>
      <w:r>
        <w:rPr>
          <w:sz w:val="24"/>
          <w:szCs w:val="24"/>
        </w:rPr>
        <w:t xml:space="preserve"> adds </w:t>
      </w:r>
      <w:r w:rsidR="00BB78B0">
        <w:rPr>
          <w:sz w:val="24"/>
          <w:szCs w:val="24"/>
        </w:rPr>
        <w:t xml:space="preserve">almost $60 billion more than construction and </w:t>
      </w:r>
      <w:r w:rsidR="001B40A4">
        <w:rPr>
          <w:sz w:val="24"/>
          <w:szCs w:val="24"/>
        </w:rPr>
        <w:t>$2</w:t>
      </w:r>
      <w:r w:rsidR="00200EC4">
        <w:rPr>
          <w:sz w:val="24"/>
          <w:szCs w:val="24"/>
        </w:rPr>
        <w:t>27</w:t>
      </w:r>
      <w:r w:rsidR="001B40A4">
        <w:rPr>
          <w:sz w:val="24"/>
          <w:szCs w:val="24"/>
        </w:rPr>
        <w:t xml:space="preserve"> billion </w:t>
      </w:r>
      <w:r w:rsidR="00BB78B0">
        <w:rPr>
          <w:sz w:val="24"/>
          <w:szCs w:val="24"/>
        </w:rPr>
        <w:t xml:space="preserve">more than </w:t>
      </w:r>
      <w:r w:rsidR="001B40A4">
        <w:rPr>
          <w:sz w:val="24"/>
          <w:szCs w:val="24"/>
        </w:rPr>
        <w:t>transportation and warehousing</w:t>
      </w:r>
      <w:r w:rsidR="00BB78B0">
        <w:rPr>
          <w:sz w:val="24"/>
          <w:szCs w:val="24"/>
        </w:rPr>
        <w:t xml:space="preserve"> to the U.S. economy.</w:t>
      </w:r>
    </w:p>
    <w:p w14:paraId="5B78D623" w14:textId="77777777" w:rsidR="00885690" w:rsidRDefault="00885690" w:rsidP="008C78EF">
      <w:pPr>
        <w:rPr>
          <w:sz w:val="24"/>
          <w:szCs w:val="24"/>
        </w:rPr>
      </w:pPr>
    </w:p>
    <w:p w14:paraId="45BBDEA5" w14:textId="2C06F81A" w:rsidR="00D77DA9" w:rsidRDefault="00F9530B" w:rsidP="008C78EF">
      <w:pPr>
        <w:rPr>
          <w:sz w:val="24"/>
          <w:szCs w:val="24"/>
        </w:rPr>
      </w:pPr>
      <w:r>
        <w:rPr>
          <w:noProof/>
        </w:rPr>
        <w:drawing>
          <wp:inline distT="0" distB="0" distL="0" distR="0" wp14:anchorId="2268DB08" wp14:editId="4B72F48E">
            <wp:extent cx="6248400" cy="5343525"/>
            <wp:effectExtent l="0" t="0" r="0" b="9525"/>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359494A" w14:textId="77777777" w:rsidR="00BD2A8F" w:rsidRDefault="00BD2A8F" w:rsidP="008C78EF">
      <w:pPr>
        <w:rPr>
          <w:sz w:val="24"/>
          <w:szCs w:val="24"/>
        </w:rPr>
      </w:pPr>
    </w:p>
    <w:p w14:paraId="763DB34B" w14:textId="77777777" w:rsidR="00721AC1" w:rsidRDefault="00721AC1">
      <w:pPr>
        <w:rPr>
          <w:b/>
          <w:sz w:val="24"/>
          <w:szCs w:val="24"/>
        </w:rPr>
      </w:pPr>
      <w:r>
        <w:rPr>
          <w:b/>
          <w:sz w:val="24"/>
          <w:szCs w:val="24"/>
        </w:rPr>
        <w:br w:type="page"/>
      </w:r>
    </w:p>
    <w:p w14:paraId="235D848F" w14:textId="1B3FB634" w:rsidR="008C78EF" w:rsidRPr="00573E8A" w:rsidRDefault="00CD456E" w:rsidP="00573E8A">
      <w:pPr>
        <w:pStyle w:val="Heading1"/>
        <w:jc w:val="center"/>
        <w:rPr>
          <w:rFonts w:asciiTheme="minorHAnsi" w:hAnsiTheme="minorHAnsi" w:cstheme="minorHAnsi"/>
          <w:b/>
          <w:color w:val="auto"/>
          <w:sz w:val="24"/>
          <w:szCs w:val="24"/>
        </w:rPr>
      </w:pPr>
      <w:bookmarkStart w:id="2" w:name="_III._Trends_in"/>
      <w:bookmarkEnd w:id="2"/>
      <w:r w:rsidRPr="00573E8A">
        <w:rPr>
          <w:rFonts w:asciiTheme="minorHAnsi" w:hAnsiTheme="minorHAnsi" w:cstheme="minorHAnsi"/>
          <w:b/>
          <w:color w:val="auto"/>
          <w:sz w:val="24"/>
          <w:szCs w:val="24"/>
        </w:rPr>
        <w:lastRenderedPageBreak/>
        <w:t xml:space="preserve">III. </w:t>
      </w:r>
      <w:r w:rsidR="00BD2A8F" w:rsidRPr="00573E8A">
        <w:rPr>
          <w:rFonts w:asciiTheme="minorHAnsi" w:hAnsiTheme="minorHAnsi" w:cstheme="minorHAnsi"/>
          <w:b/>
          <w:color w:val="auto"/>
          <w:sz w:val="24"/>
          <w:szCs w:val="24"/>
        </w:rPr>
        <w:t>Trends in Arts and Cultural Production</w:t>
      </w:r>
    </w:p>
    <w:p w14:paraId="55B33245" w14:textId="7D96E78B" w:rsidR="001B40A4" w:rsidRDefault="00BB78B0" w:rsidP="00A82D0A">
      <w:pPr>
        <w:pStyle w:val="ListParagraph"/>
        <w:numPr>
          <w:ilvl w:val="0"/>
          <w:numId w:val="6"/>
        </w:numPr>
        <w:rPr>
          <w:sz w:val="24"/>
          <w:szCs w:val="24"/>
        </w:rPr>
      </w:pPr>
      <w:r>
        <w:rPr>
          <w:sz w:val="24"/>
          <w:szCs w:val="24"/>
        </w:rPr>
        <w:t>The value added by arts and culture to GDP</w:t>
      </w:r>
      <w:r w:rsidR="000C603A">
        <w:rPr>
          <w:sz w:val="24"/>
          <w:szCs w:val="24"/>
        </w:rPr>
        <w:t xml:space="preserve"> </w:t>
      </w:r>
      <w:r w:rsidR="00031C7C">
        <w:rPr>
          <w:sz w:val="24"/>
          <w:szCs w:val="24"/>
        </w:rPr>
        <w:t xml:space="preserve">generally </w:t>
      </w:r>
      <w:r>
        <w:rPr>
          <w:sz w:val="24"/>
          <w:szCs w:val="24"/>
        </w:rPr>
        <w:t xml:space="preserve">has </w:t>
      </w:r>
      <w:r w:rsidR="00031C7C">
        <w:rPr>
          <w:sz w:val="24"/>
          <w:szCs w:val="24"/>
        </w:rPr>
        <w:t>risen throughout the 1</w:t>
      </w:r>
      <w:r w:rsidR="00823757">
        <w:rPr>
          <w:sz w:val="24"/>
          <w:szCs w:val="24"/>
        </w:rPr>
        <w:t>9</w:t>
      </w:r>
      <w:r w:rsidR="00031C7C">
        <w:rPr>
          <w:sz w:val="24"/>
          <w:szCs w:val="24"/>
        </w:rPr>
        <w:t xml:space="preserve">-year period captured by the ACPSA. </w:t>
      </w:r>
      <w:r w:rsidR="00A82D0A">
        <w:rPr>
          <w:sz w:val="24"/>
          <w:szCs w:val="24"/>
        </w:rPr>
        <w:t xml:space="preserve"> </w:t>
      </w:r>
    </w:p>
    <w:p w14:paraId="569C767A" w14:textId="7D15EC04" w:rsidR="000C603A" w:rsidRPr="00C365AC" w:rsidRDefault="00C365AC" w:rsidP="00C365AC">
      <w:pPr>
        <w:pStyle w:val="ListParagraph"/>
        <w:numPr>
          <w:ilvl w:val="1"/>
          <w:numId w:val="6"/>
        </w:numPr>
        <w:rPr>
          <w:sz w:val="24"/>
          <w:szCs w:val="24"/>
        </w:rPr>
      </w:pPr>
      <w:r>
        <w:rPr>
          <w:sz w:val="24"/>
          <w:szCs w:val="24"/>
        </w:rPr>
        <w:t xml:space="preserve">Over the most recent three-year period (2014-2016), the </w:t>
      </w:r>
      <w:r w:rsidRPr="00031C7C">
        <w:rPr>
          <w:i/>
          <w:sz w:val="24"/>
          <w:szCs w:val="24"/>
        </w:rPr>
        <w:t>average annual growth rate</w:t>
      </w:r>
      <w:r>
        <w:rPr>
          <w:sz w:val="24"/>
          <w:szCs w:val="24"/>
        </w:rPr>
        <w:t xml:space="preserve"> of real value added by arts and culture was 4.16 percent, nearly double the 2.22 percent growth rate generated by the total U.S. economy</w:t>
      </w:r>
      <w:r w:rsidR="000C603A" w:rsidRPr="00C365AC">
        <w:rPr>
          <w:sz w:val="24"/>
          <w:szCs w:val="24"/>
        </w:rPr>
        <w:t>.</w:t>
      </w:r>
      <w:r w:rsidR="000C603A">
        <w:rPr>
          <w:rStyle w:val="EndnoteReference"/>
          <w:sz w:val="24"/>
          <w:szCs w:val="24"/>
        </w:rPr>
        <w:endnoteReference w:id="4"/>
      </w:r>
    </w:p>
    <w:p w14:paraId="428BC2D7" w14:textId="77777777" w:rsidR="005925EF" w:rsidRPr="005925EF" w:rsidRDefault="005925EF" w:rsidP="005925EF">
      <w:pPr>
        <w:ind w:left="1080"/>
        <w:rPr>
          <w:sz w:val="24"/>
          <w:szCs w:val="24"/>
        </w:rPr>
      </w:pPr>
    </w:p>
    <w:p w14:paraId="320AD157" w14:textId="77777777" w:rsidR="005925EF" w:rsidRPr="005925EF" w:rsidRDefault="005925EF" w:rsidP="005925EF">
      <w:pPr>
        <w:ind w:left="1080"/>
      </w:pPr>
    </w:p>
    <w:p w14:paraId="26056CCC" w14:textId="6B2D2714" w:rsidR="001B40A4" w:rsidRDefault="005925EF" w:rsidP="008C78EF">
      <w:pPr>
        <w:rPr>
          <w:sz w:val="24"/>
          <w:szCs w:val="24"/>
        </w:rPr>
      </w:pPr>
      <w:r>
        <w:rPr>
          <w:noProof/>
        </w:rPr>
        <w:drawing>
          <wp:inline distT="0" distB="0" distL="0" distR="0" wp14:anchorId="3E41297F" wp14:editId="30FBAF95">
            <wp:extent cx="5943600" cy="4860925"/>
            <wp:effectExtent l="0" t="0" r="0" b="1587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9C99990" w14:textId="77777777" w:rsidR="00B613E4" w:rsidRDefault="00B613E4">
      <w:pPr>
        <w:rPr>
          <w:sz w:val="24"/>
          <w:szCs w:val="24"/>
        </w:rPr>
      </w:pPr>
      <w:r>
        <w:rPr>
          <w:sz w:val="24"/>
          <w:szCs w:val="24"/>
        </w:rPr>
        <w:br w:type="page"/>
      </w:r>
    </w:p>
    <w:p w14:paraId="392B8CC0" w14:textId="418A59E0" w:rsidR="001B40A4" w:rsidRDefault="00DC00DA" w:rsidP="00DC00DA">
      <w:pPr>
        <w:pStyle w:val="ListParagraph"/>
        <w:numPr>
          <w:ilvl w:val="0"/>
          <w:numId w:val="6"/>
        </w:numPr>
        <w:rPr>
          <w:sz w:val="24"/>
          <w:szCs w:val="24"/>
        </w:rPr>
      </w:pPr>
      <w:r>
        <w:rPr>
          <w:sz w:val="24"/>
          <w:szCs w:val="24"/>
        </w:rPr>
        <w:lastRenderedPageBreak/>
        <w:t xml:space="preserve">The fastest-growing industries producing arts and cultural goods and services </w:t>
      </w:r>
      <w:r w:rsidR="00CD7D10">
        <w:rPr>
          <w:sz w:val="24"/>
          <w:szCs w:val="24"/>
        </w:rPr>
        <w:t>include sound</w:t>
      </w:r>
      <w:r w:rsidR="00823757">
        <w:rPr>
          <w:sz w:val="24"/>
          <w:szCs w:val="24"/>
        </w:rPr>
        <w:t xml:space="preserve"> recording, </w:t>
      </w:r>
      <w:r>
        <w:rPr>
          <w:sz w:val="24"/>
          <w:szCs w:val="24"/>
        </w:rPr>
        <w:t>“other information services”</w:t>
      </w:r>
      <w:r w:rsidR="00823757">
        <w:rPr>
          <w:sz w:val="24"/>
          <w:szCs w:val="24"/>
        </w:rPr>
        <w:t xml:space="preserve"> (e.g., Internet publishing and broadcasting/streaming</w:t>
      </w:r>
      <w:r w:rsidR="00875B8C">
        <w:rPr>
          <w:sz w:val="24"/>
          <w:szCs w:val="24"/>
        </w:rPr>
        <w:t>)</w:t>
      </w:r>
      <w:r>
        <w:rPr>
          <w:sz w:val="24"/>
          <w:szCs w:val="24"/>
        </w:rPr>
        <w:t xml:space="preserve">, </w:t>
      </w:r>
      <w:r w:rsidR="00875B8C">
        <w:rPr>
          <w:sz w:val="24"/>
          <w:szCs w:val="24"/>
        </w:rPr>
        <w:t>rental and leasing</w:t>
      </w:r>
      <w:r w:rsidR="00C365AC">
        <w:rPr>
          <w:sz w:val="24"/>
          <w:szCs w:val="24"/>
        </w:rPr>
        <w:t xml:space="preserve"> of costumes and arts-related equipment</w:t>
      </w:r>
      <w:r w:rsidR="00823757">
        <w:rPr>
          <w:sz w:val="24"/>
          <w:szCs w:val="24"/>
        </w:rPr>
        <w:t>,</w:t>
      </w:r>
      <w:r w:rsidR="005F4BEB">
        <w:rPr>
          <w:sz w:val="24"/>
          <w:szCs w:val="24"/>
        </w:rPr>
        <w:t xml:space="preserve"> </w:t>
      </w:r>
      <w:r>
        <w:rPr>
          <w:sz w:val="24"/>
          <w:szCs w:val="24"/>
        </w:rPr>
        <w:t>and architectural services</w:t>
      </w:r>
      <w:r w:rsidR="005F4BEB">
        <w:rPr>
          <w:sz w:val="24"/>
          <w:szCs w:val="24"/>
        </w:rPr>
        <w:t xml:space="preserve">. </w:t>
      </w:r>
    </w:p>
    <w:p w14:paraId="56C375E5" w14:textId="79DFE5F9" w:rsidR="00FF4B5F" w:rsidRDefault="00FF4B5F" w:rsidP="00DC00DA">
      <w:pPr>
        <w:pStyle w:val="ListParagraph"/>
        <w:numPr>
          <w:ilvl w:val="1"/>
          <w:numId w:val="6"/>
        </w:numPr>
        <w:rPr>
          <w:sz w:val="24"/>
          <w:szCs w:val="24"/>
        </w:rPr>
      </w:pPr>
      <w:r>
        <w:rPr>
          <w:sz w:val="24"/>
          <w:szCs w:val="24"/>
        </w:rPr>
        <w:t>Arts and cultural value added by</w:t>
      </w:r>
      <w:r w:rsidR="00875B8C">
        <w:rPr>
          <w:sz w:val="24"/>
          <w:szCs w:val="24"/>
        </w:rPr>
        <w:t xml:space="preserve"> sound recording and by </w:t>
      </w:r>
      <w:r>
        <w:rPr>
          <w:sz w:val="24"/>
          <w:szCs w:val="24"/>
        </w:rPr>
        <w:t xml:space="preserve">“other information services” </w:t>
      </w:r>
      <w:r w:rsidR="00875B8C">
        <w:rPr>
          <w:sz w:val="24"/>
          <w:szCs w:val="24"/>
        </w:rPr>
        <w:t xml:space="preserve">both </w:t>
      </w:r>
      <w:r>
        <w:rPr>
          <w:sz w:val="24"/>
          <w:szCs w:val="24"/>
        </w:rPr>
        <w:t xml:space="preserve">grew by an annual average rate of </w:t>
      </w:r>
      <w:r w:rsidR="00875B8C">
        <w:rPr>
          <w:sz w:val="24"/>
          <w:szCs w:val="24"/>
        </w:rPr>
        <w:t xml:space="preserve">approximately 18 percent </w:t>
      </w:r>
      <w:r>
        <w:rPr>
          <w:sz w:val="24"/>
          <w:szCs w:val="24"/>
        </w:rPr>
        <w:t>between 201</w:t>
      </w:r>
      <w:r w:rsidR="00875B8C">
        <w:rPr>
          <w:sz w:val="24"/>
          <w:szCs w:val="24"/>
        </w:rPr>
        <w:t>4</w:t>
      </w:r>
      <w:r>
        <w:rPr>
          <w:sz w:val="24"/>
          <w:szCs w:val="24"/>
        </w:rPr>
        <w:t xml:space="preserve"> and 201</w:t>
      </w:r>
      <w:r w:rsidR="00875B8C">
        <w:rPr>
          <w:sz w:val="24"/>
          <w:szCs w:val="24"/>
        </w:rPr>
        <w:t>6</w:t>
      </w:r>
      <w:r>
        <w:rPr>
          <w:sz w:val="24"/>
          <w:szCs w:val="24"/>
        </w:rPr>
        <w:t>.</w:t>
      </w:r>
      <w:r w:rsidR="001876E3">
        <w:rPr>
          <w:rStyle w:val="EndnoteReference"/>
          <w:sz w:val="24"/>
          <w:szCs w:val="24"/>
        </w:rPr>
        <w:endnoteReference w:id="5"/>
      </w:r>
      <w:r>
        <w:rPr>
          <w:sz w:val="24"/>
          <w:szCs w:val="24"/>
        </w:rPr>
        <w:t xml:space="preserve"> </w:t>
      </w:r>
    </w:p>
    <w:p w14:paraId="3350A1BE" w14:textId="1D868389" w:rsidR="00FF4B5F" w:rsidRDefault="00F0524B" w:rsidP="00DC00DA">
      <w:pPr>
        <w:pStyle w:val="ListParagraph"/>
        <w:numPr>
          <w:ilvl w:val="1"/>
          <w:numId w:val="6"/>
        </w:numPr>
        <w:rPr>
          <w:sz w:val="24"/>
          <w:szCs w:val="24"/>
        </w:rPr>
      </w:pPr>
      <w:r>
        <w:rPr>
          <w:sz w:val="24"/>
          <w:szCs w:val="24"/>
        </w:rPr>
        <w:t>V</w:t>
      </w:r>
      <w:r w:rsidR="00FF4B5F">
        <w:rPr>
          <w:sz w:val="24"/>
          <w:szCs w:val="24"/>
        </w:rPr>
        <w:t xml:space="preserve">alue added by </w:t>
      </w:r>
      <w:r w:rsidR="00875B8C">
        <w:rPr>
          <w:sz w:val="24"/>
          <w:szCs w:val="24"/>
        </w:rPr>
        <w:t xml:space="preserve">arts-related rental and leasing establishments (such as those that lease theatrical </w:t>
      </w:r>
      <w:r w:rsidR="00DF7580">
        <w:rPr>
          <w:sz w:val="24"/>
          <w:szCs w:val="24"/>
        </w:rPr>
        <w:t xml:space="preserve">wardrobes and equipment) </w:t>
      </w:r>
      <w:r w:rsidR="005F4BEB">
        <w:rPr>
          <w:sz w:val="24"/>
          <w:szCs w:val="24"/>
        </w:rPr>
        <w:t>grew</w:t>
      </w:r>
      <w:r w:rsidR="00FF4B5F">
        <w:rPr>
          <w:sz w:val="24"/>
          <w:szCs w:val="24"/>
        </w:rPr>
        <w:t xml:space="preserve"> by </w:t>
      </w:r>
      <w:r w:rsidR="00AD20C1">
        <w:rPr>
          <w:sz w:val="24"/>
          <w:szCs w:val="24"/>
        </w:rPr>
        <w:t>9.</w:t>
      </w:r>
      <w:r w:rsidR="00875B8C">
        <w:rPr>
          <w:sz w:val="24"/>
          <w:szCs w:val="24"/>
        </w:rPr>
        <w:t>7</w:t>
      </w:r>
      <w:r w:rsidR="005F4BEB">
        <w:rPr>
          <w:sz w:val="24"/>
          <w:szCs w:val="24"/>
        </w:rPr>
        <w:t xml:space="preserve"> </w:t>
      </w:r>
      <w:r w:rsidR="00FF4B5F">
        <w:rPr>
          <w:sz w:val="24"/>
          <w:szCs w:val="24"/>
        </w:rPr>
        <w:t xml:space="preserve">percent </w:t>
      </w:r>
      <w:r>
        <w:rPr>
          <w:sz w:val="24"/>
          <w:szCs w:val="24"/>
        </w:rPr>
        <w:t>over</w:t>
      </w:r>
      <w:r w:rsidR="0066056C">
        <w:rPr>
          <w:sz w:val="24"/>
          <w:szCs w:val="24"/>
        </w:rPr>
        <w:t xml:space="preserve"> the </w:t>
      </w:r>
      <w:r w:rsidR="00F76EC7">
        <w:rPr>
          <w:sz w:val="24"/>
          <w:szCs w:val="24"/>
        </w:rPr>
        <w:t>three</w:t>
      </w:r>
      <w:r w:rsidR="0066056C">
        <w:rPr>
          <w:sz w:val="24"/>
          <w:szCs w:val="24"/>
        </w:rPr>
        <w:t>-year period.</w:t>
      </w:r>
      <w:r w:rsidR="00875B8C">
        <w:rPr>
          <w:sz w:val="24"/>
          <w:szCs w:val="24"/>
        </w:rPr>
        <w:t xml:space="preserve"> </w:t>
      </w:r>
    </w:p>
    <w:p w14:paraId="06D4A02F" w14:textId="644874C6" w:rsidR="00875B8C" w:rsidRDefault="00875B8C" w:rsidP="00DC00DA">
      <w:pPr>
        <w:pStyle w:val="ListParagraph"/>
        <w:numPr>
          <w:ilvl w:val="1"/>
          <w:numId w:val="6"/>
        </w:numPr>
        <w:rPr>
          <w:sz w:val="24"/>
          <w:szCs w:val="24"/>
        </w:rPr>
      </w:pPr>
      <w:r>
        <w:rPr>
          <w:sz w:val="24"/>
          <w:szCs w:val="24"/>
        </w:rPr>
        <w:t>Architectural services expanded by 5.8 percent.</w:t>
      </w:r>
    </w:p>
    <w:p w14:paraId="7CF593A2" w14:textId="77777777" w:rsidR="0066056C" w:rsidRPr="0066056C" w:rsidRDefault="0066056C" w:rsidP="0066056C">
      <w:pPr>
        <w:rPr>
          <w:sz w:val="24"/>
          <w:szCs w:val="24"/>
        </w:rPr>
      </w:pPr>
    </w:p>
    <w:p w14:paraId="742DADC0" w14:textId="2CAF64DE" w:rsidR="00157CE1" w:rsidRDefault="00EA45C7">
      <w:pPr>
        <w:rPr>
          <w:noProof/>
        </w:rPr>
      </w:pPr>
      <w:r>
        <w:rPr>
          <w:noProof/>
        </w:rPr>
        <w:drawing>
          <wp:inline distT="0" distB="0" distL="0" distR="0" wp14:anchorId="5FBD5F4E" wp14:editId="285A933C">
            <wp:extent cx="5943600" cy="52755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5275580"/>
                    </a:xfrm>
                    <a:prstGeom prst="rect">
                      <a:avLst/>
                    </a:prstGeom>
                  </pic:spPr>
                </pic:pic>
              </a:graphicData>
            </a:graphic>
          </wp:inline>
        </w:drawing>
      </w:r>
      <w:r w:rsidR="00157CE1">
        <w:rPr>
          <w:noProof/>
        </w:rPr>
        <w:br w:type="page"/>
      </w:r>
    </w:p>
    <w:p w14:paraId="1EE5A1F6" w14:textId="142379B1" w:rsidR="00E05F35" w:rsidRDefault="00E05F35">
      <w:pPr>
        <w:rPr>
          <w:sz w:val="20"/>
          <w:szCs w:val="20"/>
        </w:rPr>
      </w:pPr>
    </w:p>
    <w:p w14:paraId="49AE9AD3" w14:textId="1B5D249F" w:rsidR="00976FDD" w:rsidRPr="00573E8A" w:rsidRDefault="00CD456E" w:rsidP="00573E8A">
      <w:pPr>
        <w:pStyle w:val="Heading1"/>
        <w:jc w:val="center"/>
        <w:rPr>
          <w:rFonts w:asciiTheme="minorHAnsi" w:hAnsiTheme="minorHAnsi" w:cstheme="minorHAnsi"/>
          <w:b/>
          <w:color w:val="auto"/>
          <w:sz w:val="24"/>
          <w:szCs w:val="24"/>
        </w:rPr>
      </w:pPr>
      <w:bookmarkStart w:id="3" w:name="_IV._Workers_Engaged"/>
      <w:bookmarkEnd w:id="3"/>
      <w:r w:rsidRPr="00573E8A">
        <w:rPr>
          <w:rFonts w:asciiTheme="minorHAnsi" w:hAnsiTheme="minorHAnsi" w:cstheme="minorHAnsi"/>
          <w:b/>
          <w:color w:val="auto"/>
          <w:sz w:val="24"/>
          <w:szCs w:val="24"/>
        </w:rPr>
        <w:t xml:space="preserve">IV. </w:t>
      </w:r>
      <w:r w:rsidR="00976FDD" w:rsidRPr="00573E8A">
        <w:rPr>
          <w:rFonts w:asciiTheme="minorHAnsi" w:hAnsiTheme="minorHAnsi" w:cstheme="minorHAnsi"/>
          <w:b/>
          <w:color w:val="auto"/>
          <w:sz w:val="24"/>
          <w:szCs w:val="24"/>
        </w:rPr>
        <w:t>Workers Engaged in Arts and Cultural Production</w:t>
      </w:r>
    </w:p>
    <w:p w14:paraId="4A7666BF" w14:textId="212176D6" w:rsidR="001B40A4" w:rsidRDefault="009C43AB" w:rsidP="009C43AB">
      <w:pPr>
        <w:pStyle w:val="ListParagraph"/>
        <w:numPr>
          <w:ilvl w:val="0"/>
          <w:numId w:val="7"/>
        </w:numPr>
        <w:jc w:val="both"/>
        <w:rPr>
          <w:sz w:val="24"/>
          <w:szCs w:val="24"/>
        </w:rPr>
      </w:pPr>
      <w:r>
        <w:rPr>
          <w:sz w:val="24"/>
          <w:szCs w:val="24"/>
        </w:rPr>
        <w:t>In 201</w:t>
      </w:r>
      <w:r w:rsidR="0068754A">
        <w:rPr>
          <w:sz w:val="24"/>
          <w:szCs w:val="24"/>
        </w:rPr>
        <w:t>6</w:t>
      </w:r>
      <w:r>
        <w:rPr>
          <w:sz w:val="24"/>
          <w:szCs w:val="24"/>
        </w:rPr>
        <w:t xml:space="preserve">, the arts and cultural sector employed </w:t>
      </w:r>
      <w:r w:rsidR="00F76EC7">
        <w:rPr>
          <w:sz w:val="24"/>
          <w:szCs w:val="24"/>
        </w:rPr>
        <w:t>more</w:t>
      </w:r>
      <w:r w:rsidR="009767FA">
        <w:rPr>
          <w:sz w:val="24"/>
          <w:szCs w:val="24"/>
        </w:rPr>
        <w:t xml:space="preserve"> </w:t>
      </w:r>
      <w:r w:rsidR="00F76EC7">
        <w:rPr>
          <w:sz w:val="24"/>
          <w:szCs w:val="24"/>
        </w:rPr>
        <w:t xml:space="preserve">than </w:t>
      </w:r>
      <w:r w:rsidR="0068754A">
        <w:rPr>
          <w:sz w:val="24"/>
          <w:szCs w:val="24"/>
        </w:rPr>
        <w:t>5</w:t>
      </w:r>
      <w:r>
        <w:rPr>
          <w:sz w:val="24"/>
          <w:szCs w:val="24"/>
        </w:rPr>
        <w:t xml:space="preserve"> million wage</w:t>
      </w:r>
      <w:r w:rsidR="00D07C8E">
        <w:rPr>
          <w:sz w:val="24"/>
          <w:szCs w:val="24"/>
        </w:rPr>
        <w:t>-</w:t>
      </w:r>
      <w:r>
        <w:rPr>
          <w:sz w:val="24"/>
          <w:szCs w:val="24"/>
        </w:rPr>
        <w:t>and</w:t>
      </w:r>
      <w:r w:rsidR="00D07C8E">
        <w:rPr>
          <w:sz w:val="24"/>
          <w:szCs w:val="24"/>
        </w:rPr>
        <w:t>-</w:t>
      </w:r>
      <w:r>
        <w:rPr>
          <w:sz w:val="24"/>
          <w:szCs w:val="24"/>
        </w:rPr>
        <w:t>salary workers.</w:t>
      </w:r>
      <w:r w:rsidRPr="008C78EF">
        <w:rPr>
          <w:sz w:val="24"/>
          <w:szCs w:val="24"/>
        </w:rPr>
        <w:t xml:space="preserve"> </w:t>
      </w:r>
    </w:p>
    <w:p w14:paraId="2A4E094B" w14:textId="1BD8A0F9" w:rsidR="001F50B9" w:rsidRDefault="009C43AB" w:rsidP="001F50B9">
      <w:pPr>
        <w:pStyle w:val="ListParagraph"/>
        <w:numPr>
          <w:ilvl w:val="1"/>
          <w:numId w:val="7"/>
        </w:numPr>
        <w:jc w:val="both"/>
        <w:rPr>
          <w:sz w:val="24"/>
          <w:szCs w:val="24"/>
        </w:rPr>
      </w:pPr>
      <w:r>
        <w:rPr>
          <w:sz w:val="24"/>
          <w:szCs w:val="24"/>
        </w:rPr>
        <w:t>Compensation for those workers topped $3</w:t>
      </w:r>
      <w:r w:rsidR="0068754A">
        <w:rPr>
          <w:sz w:val="24"/>
          <w:szCs w:val="24"/>
        </w:rPr>
        <w:t>86</w:t>
      </w:r>
      <w:r>
        <w:rPr>
          <w:sz w:val="24"/>
          <w:szCs w:val="24"/>
        </w:rPr>
        <w:t xml:space="preserve"> billion</w:t>
      </w:r>
      <w:r w:rsidR="00F76EC7">
        <w:rPr>
          <w:sz w:val="24"/>
          <w:szCs w:val="24"/>
        </w:rPr>
        <w:t xml:space="preserve"> that year.</w:t>
      </w:r>
    </w:p>
    <w:p w14:paraId="13EBB5D0" w14:textId="2CF7AB5C" w:rsidR="001F50B9" w:rsidRDefault="009328CD" w:rsidP="003069B0">
      <w:pPr>
        <w:pStyle w:val="ListParagraph"/>
        <w:numPr>
          <w:ilvl w:val="0"/>
          <w:numId w:val="7"/>
        </w:numPr>
        <w:jc w:val="both"/>
        <w:rPr>
          <w:sz w:val="24"/>
          <w:szCs w:val="24"/>
        </w:rPr>
      </w:pPr>
      <w:r>
        <w:rPr>
          <w:sz w:val="24"/>
          <w:szCs w:val="24"/>
        </w:rPr>
        <w:t>The number of workers employed to produce arts and cultural goods and services has risen in recent years.</w:t>
      </w:r>
    </w:p>
    <w:p w14:paraId="61186924" w14:textId="04902BD2" w:rsidR="0068754A" w:rsidRPr="00E05F35" w:rsidRDefault="00E05F35" w:rsidP="00E40F27">
      <w:pPr>
        <w:pStyle w:val="ListParagraph"/>
        <w:numPr>
          <w:ilvl w:val="1"/>
          <w:numId w:val="7"/>
        </w:numPr>
        <w:jc w:val="both"/>
        <w:rPr>
          <w:sz w:val="24"/>
          <w:szCs w:val="24"/>
        </w:rPr>
      </w:pPr>
      <w:r w:rsidRPr="00E05F35">
        <w:rPr>
          <w:sz w:val="24"/>
          <w:szCs w:val="24"/>
        </w:rPr>
        <w:t>Following the Great Recession, b</w:t>
      </w:r>
      <w:r w:rsidR="0093744A" w:rsidRPr="00E05F35">
        <w:rPr>
          <w:sz w:val="24"/>
          <w:szCs w:val="24"/>
        </w:rPr>
        <w:t>etween 2009 and 2016, the arts and cultural economy added 206,000 workers.</w:t>
      </w:r>
    </w:p>
    <w:p w14:paraId="4408E0B3" w14:textId="34D6F3E7" w:rsidR="001F50B9" w:rsidRDefault="0093744A" w:rsidP="001F50B9">
      <w:pPr>
        <w:jc w:val="both"/>
        <w:rPr>
          <w:sz w:val="24"/>
          <w:szCs w:val="24"/>
        </w:rPr>
      </w:pPr>
      <w:r w:rsidRPr="0093744A">
        <w:rPr>
          <w:sz w:val="24"/>
          <w:szCs w:val="24"/>
        </w:rPr>
        <w:t xml:space="preserve"> </w:t>
      </w:r>
      <w:r w:rsidRPr="0093744A">
        <w:rPr>
          <w:noProof/>
        </w:rPr>
        <w:drawing>
          <wp:inline distT="0" distB="0" distL="0" distR="0" wp14:anchorId="7DBFCD90" wp14:editId="1ED6635E">
            <wp:extent cx="5943600" cy="5180926"/>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5180926"/>
                    </a:xfrm>
                    <a:prstGeom prst="rect">
                      <a:avLst/>
                    </a:prstGeom>
                    <a:noFill/>
                    <a:ln>
                      <a:noFill/>
                    </a:ln>
                  </pic:spPr>
                </pic:pic>
              </a:graphicData>
            </a:graphic>
          </wp:inline>
        </w:drawing>
      </w:r>
    </w:p>
    <w:p w14:paraId="73EB88DF" w14:textId="77777777" w:rsidR="001F50B9" w:rsidRDefault="001F50B9" w:rsidP="003069B0">
      <w:pPr>
        <w:jc w:val="both"/>
        <w:rPr>
          <w:sz w:val="24"/>
          <w:szCs w:val="24"/>
        </w:rPr>
      </w:pPr>
    </w:p>
    <w:p w14:paraId="2DEED1A4" w14:textId="77777777" w:rsidR="001F50B9" w:rsidRDefault="001F50B9" w:rsidP="003069B0">
      <w:pPr>
        <w:jc w:val="both"/>
        <w:rPr>
          <w:sz w:val="24"/>
          <w:szCs w:val="24"/>
        </w:rPr>
      </w:pPr>
    </w:p>
    <w:p w14:paraId="447405A9" w14:textId="5B4986A3" w:rsidR="009D2751" w:rsidRDefault="00626A12" w:rsidP="009D2751">
      <w:pPr>
        <w:jc w:val="both"/>
        <w:rPr>
          <w:sz w:val="24"/>
          <w:szCs w:val="24"/>
        </w:rPr>
      </w:pPr>
      <w:r>
        <w:rPr>
          <w:noProof/>
        </w:rPr>
        <w:lastRenderedPageBreak/>
        <w:drawing>
          <wp:inline distT="0" distB="0" distL="0" distR="0" wp14:anchorId="2EBF010B" wp14:editId="3C1C7C0A">
            <wp:extent cx="5943600" cy="42411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4241165"/>
                    </a:xfrm>
                    <a:prstGeom prst="rect">
                      <a:avLst/>
                    </a:prstGeom>
                  </pic:spPr>
                </pic:pic>
              </a:graphicData>
            </a:graphic>
          </wp:inline>
        </w:drawing>
      </w:r>
      <w:bookmarkStart w:id="4" w:name="_GoBack"/>
      <w:bookmarkEnd w:id="4"/>
      <w:r w:rsidR="007C02EC" w:rsidRPr="007C02EC">
        <w:rPr>
          <w:sz w:val="24"/>
          <w:szCs w:val="24"/>
        </w:rPr>
        <w:t xml:space="preserve"> </w:t>
      </w:r>
    </w:p>
    <w:p w14:paraId="320A0BA6" w14:textId="3E2D8234" w:rsidR="005579F2" w:rsidRDefault="005579F2" w:rsidP="009D2751">
      <w:pPr>
        <w:jc w:val="both"/>
        <w:rPr>
          <w:sz w:val="24"/>
          <w:szCs w:val="24"/>
        </w:rPr>
      </w:pPr>
    </w:p>
    <w:p w14:paraId="17AE677D" w14:textId="77777777" w:rsidR="00203E65" w:rsidRDefault="00203E65">
      <w:pPr>
        <w:rPr>
          <w:b/>
          <w:sz w:val="24"/>
          <w:szCs w:val="24"/>
        </w:rPr>
      </w:pPr>
      <w:r>
        <w:rPr>
          <w:b/>
          <w:sz w:val="24"/>
          <w:szCs w:val="24"/>
        </w:rPr>
        <w:br w:type="page"/>
      </w:r>
    </w:p>
    <w:p w14:paraId="765F8069" w14:textId="5DE43ABE" w:rsidR="005579F2" w:rsidRPr="00573E8A" w:rsidRDefault="00CD456E" w:rsidP="00573E8A">
      <w:pPr>
        <w:pStyle w:val="Heading1"/>
        <w:jc w:val="center"/>
        <w:rPr>
          <w:rFonts w:asciiTheme="minorHAnsi" w:hAnsiTheme="minorHAnsi" w:cstheme="minorHAnsi"/>
          <w:b/>
          <w:color w:val="auto"/>
          <w:sz w:val="24"/>
          <w:szCs w:val="24"/>
        </w:rPr>
      </w:pPr>
      <w:bookmarkStart w:id="5" w:name="_V._Consumer_Spending"/>
      <w:bookmarkEnd w:id="5"/>
      <w:r w:rsidRPr="00573E8A">
        <w:rPr>
          <w:rFonts w:asciiTheme="minorHAnsi" w:hAnsiTheme="minorHAnsi" w:cstheme="minorHAnsi"/>
          <w:b/>
          <w:color w:val="auto"/>
          <w:sz w:val="24"/>
          <w:szCs w:val="24"/>
        </w:rPr>
        <w:lastRenderedPageBreak/>
        <w:t xml:space="preserve">V. </w:t>
      </w:r>
      <w:r w:rsidR="000D32FB" w:rsidRPr="00573E8A">
        <w:rPr>
          <w:rFonts w:asciiTheme="minorHAnsi" w:hAnsiTheme="minorHAnsi" w:cstheme="minorHAnsi"/>
          <w:b/>
          <w:color w:val="auto"/>
          <w:sz w:val="24"/>
          <w:szCs w:val="24"/>
        </w:rPr>
        <w:t>Consumer Spending on Admissions to Performing Arts Events</w:t>
      </w:r>
    </w:p>
    <w:p w14:paraId="48CE2711" w14:textId="1541568E" w:rsidR="000D32FB" w:rsidRDefault="00DC0E3B" w:rsidP="00DC0E3B">
      <w:pPr>
        <w:pStyle w:val="ListParagraph"/>
        <w:numPr>
          <w:ilvl w:val="0"/>
          <w:numId w:val="8"/>
        </w:numPr>
        <w:jc w:val="both"/>
        <w:rPr>
          <w:sz w:val="24"/>
          <w:szCs w:val="24"/>
        </w:rPr>
      </w:pPr>
      <w:r>
        <w:rPr>
          <w:sz w:val="24"/>
          <w:szCs w:val="24"/>
        </w:rPr>
        <w:t>In 201</w:t>
      </w:r>
      <w:r w:rsidR="00D03B71">
        <w:rPr>
          <w:sz w:val="24"/>
          <w:szCs w:val="24"/>
        </w:rPr>
        <w:t>6</w:t>
      </w:r>
      <w:r>
        <w:rPr>
          <w:sz w:val="24"/>
          <w:szCs w:val="24"/>
        </w:rPr>
        <w:t xml:space="preserve">, U.S. </w:t>
      </w:r>
      <w:r w:rsidR="006C04D7">
        <w:rPr>
          <w:sz w:val="24"/>
          <w:szCs w:val="24"/>
        </w:rPr>
        <w:t xml:space="preserve">consumers spent </w:t>
      </w:r>
      <w:r>
        <w:rPr>
          <w:sz w:val="24"/>
          <w:szCs w:val="24"/>
        </w:rPr>
        <w:t>$3</w:t>
      </w:r>
      <w:r w:rsidR="00D03B71">
        <w:rPr>
          <w:sz w:val="24"/>
          <w:szCs w:val="24"/>
        </w:rPr>
        <w:t>2.7</w:t>
      </w:r>
      <w:r>
        <w:rPr>
          <w:sz w:val="24"/>
          <w:szCs w:val="24"/>
        </w:rPr>
        <w:t xml:space="preserve"> billion on admissions to performing arts events.</w:t>
      </w:r>
    </w:p>
    <w:p w14:paraId="27BD98CF" w14:textId="77777777" w:rsidR="00404965" w:rsidRDefault="00404965" w:rsidP="00404965">
      <w:pPr>
        <w:pStyle w:val="ListParagraph"/>
        <w:ind w:left="1440"/>
        <w:jc w:val="both"/>
        <w:rPr>
          <w:sz w:val="24"/>
          <w:szCs w:val="24"/>
        </w:rPr>
      </w:pPr>
    </w:p>
    <w:p w14:paraId="2F9C0AAD" w14:textId="2C87335B" w:rsidR="006C04D7" w:rsidRDefault="00614298" w:rsidP="006C04D7">
      <w:pPr>
        <w:pStyle w:val="ListParagraph"/>
        <w:ind w:left="0"/>
        <w:jc w:val="both"/>
        <w:rPr>
          <w:sz w:val="24"/>
          <w:szCs w:val="24"/>
        </w:rPr>
      </w:pPr>
      <w:r w:rsidRPr="00614298">
        <w:rPr>
          <w:sz w:val="24"/>
          <w:szCs w:val="24"/>
        </w:rPr>
        <w:t xml:space="preserve"> </w:t>
      </w:r>
      <w:r w:rsidRPr="00614298">
        <w:rPr>
          <w:noProof/>
        </w:rPr>
        <w:drawing>
          <wp:inline distT="0" distB="0" distL="0" distR="0" wp14:anchorId="06320D4A" wp14:editId="489F90EA">
            <wp:extent cx="4781550" cy="33242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781550" cy="3324225"/>
                    </a:xfrm>
                    <a:prstGeom prst="rect">
                      <a:avLst/>
                    </a:prstGeom>
                    <a:noFill/>
                    <a:ln>
                      <a:noFill/>
                    </a:ln>
                  </pic:spPr>
                </pic:pic>
              </a:graphicData>
            </a:graphic>
          </wp:inline>
        </w:drawing>
      </w:r>
    </w:p>
    <w:p w14:paraId="105261A6" w14:textId="77777777" w:rsidR="002663E5" w:rsidRDefault="002663E5" w:rsidP="006C04D7">
      <w:pPr>
        <w:pStyle w:val="ListParagraph"/>
        <w:ind w:left="0"/>
        <w:jc w:val="both"/>
        <w:rPr>
          <w:sz w:val="24"/>
          <w:szCs w:val="24"/>
        </w:rPr>
      </w:pPr>
    </w:p>
    <w:p w14:paraId="2ABFB2EA" w14:textId="77777777" w:rsidR="008B494B" w:rsidRDefault="008B494B" w:rsidP="006C04D7">
      <w:pPr>
        <w:pStyle w:val="ListParagraph"/>
        <w:ind w:left="0"/>
        <w:jc w:val="both"/>
        <w:rPr>
          <w:sz w:val="24"/>
          <w:szCs w:val="24"/>
        </w:rPr>
      </w:pPr>
    </w:p>
    <w:p w14:paraId="173F9513" w14:textId="77777777" w:rsidR="008B494B" w:rsidRPr="00C4072F" w:rsidRDefault="00A36B4A" w:rsidP="00500710">
      <w:pPr>
        <w:pStyle w:val="ListParagraph"/>
        <w:numPr>
          <w:ilvl w:val="0"/>
          <w:numId w:val="8"/>
        </w:numPr>
        <w:jc w:val="both"/>
        <w:rPr>
          <w:sz w:val="24"/>
          <w:szCs w:val="24"/>
        </w:rPr>
      </w:pPr>
      <w:r w:rsidRPr="00C4072F">
        <w:rPr>
          <w:sz w:val="24"/>
          <w:szCs w:val="24"/>
        </w:rPr>
        <w:t xml:space="preserve">Since 1998, </w:t>
      </w:r>
      <w:r w:rsidR="00BD4D07" w:rsidRPr="00C4072F">
        <w:rPr>
          <w:sz w:val="24"/>
          <w:szCs w:val="24"/>
        </w:rPr>
        <w:t>consumer spe</w:t>
      </w:r>
      <w:r w:rsidRPr="00C4072F">
        <w:rPr>
          <w:sz w:val="24"/>
          <w:szCs w:val="24"/>
        </w:rPr>
        <w:t>nding on admissions to the performing arts, as a share of all U.S. consumer spending, has more than doubled.</w:t>
      </w:r>
    </w:p>
    <w:p w14:paraId="7D46BA1D" w14:textId="46DCCB89" w:rsidR="00A36B4A" w:rsidRPr="00C4072F" w:rsidRDefault="00A36B4A" w:rsidP="00500710">
      <w:pPr>
        <w:pStyle w:val="ListParagraph"/>
        <w:numPr>
          <w:ilvl w:val="1"/>
          <w:numId w:val="9"/>
        </w:numPr>
        <w:jc w:val="both"/>
        <w:rPr>
          <w:sz w:val="24"/>
          <w:szCs w:val="24"/>
        </w:rPr>
      </w:pPr>
      <w:r w:rsidRPr="00C4072F">
        <w:rPr>
          <w:sz w:val="24"/>
          <w:szCs w:val="24"/>
        </w:rPr>
        <w:t xml:space="preserve">Consumer spending on tickets to performing arts events rose from 0.12 percent of all </w:t>
      </w:r>
      <w:r w:rsidR="000B6184" w:rsidRPr="00C4072F">
        <w:rPr>
          <w:sz w:val="24"/>
          <w:szCs w:val="24"/>
        </w:rPr>
        <w:t xml:space="preserve">U. S. </w:t>
      </w:r>
      <w:r w:rsidRPr="00C4072F">
        <w:rPr>
          <w:sz w:val="24"/>
          <w:szCs w:val="24"/>
        </w:rPr>
        <w:t>personal consumer spending in 1998 to 0.26 percent in 201</w:t>
      </w:r>
      <w:r w:rsidR="00C4072F">
        <w:rPr>
          <w:sz w:val="24"/>
          <w:szCs w:val="24"/>
        </w:rPr>
        <w:t>6</w:t>
      </w:r>
      <w:r w:rsidRPr="00C4072F">
        <w:rPr>
          <w:sz w:val="24"/>
          <w:szCs w:val="24"/>
        </w:rPr>
        <w:t>.</w:t>
      </w:r>
    </w:p>
    <w:p w14:paraId="1D5EDDED" w14:textId="57F0569E" w:rsidR="00A36B4A" w:rsidRPr="00A36B4A" w:rsidRDefault="00A36B4A" w:rsidP="00A36B4A">
      <w:pPr>
        <w:jc w:val="both"/>
        <w:rPr>
          <w:sz w:val="24"/>
          <w:szCs w:val="24"/>
        </w:rPr>
      </w:pPr>
      <w:r w:rsidRPr="00A36B4A">
        <w:rPr>
          <w:sz w:val="24"/>
          <w:szCs w:val="24"/>
        </w:rPr>
        <w:t xml:space="preserve"> </w:t>
      </w:r>
    </w:p>
    <w:p w14:paraId="5B749C72" w14:textId="7F952C05" w:rsidR="00D73B7C" w:rsidRDefault="00EA45C7">
      <w:pPr>
        <w:rPr>
          <w:sz w:val="24"/>
          <w:szCs w:val="24"/>
        </w:rPr>
      </w:pPr>
      <w:r>
        <w:rPr>
          <w:noProof/>
          <w:sz w:val="24"/>
          <w:szCs w:val="24"/>
        </w:rPr>
        <w:lastRenderedPageBreak/>
        <w:drawing>
          <wp:inline distT="0" distB="0" distL="0" distR="0" wp14:anchorId="179FCD64" wp14:editId="00E34F4B">
            <wp:extent cx="6222502" cy="5971788"/>
            <wp:effectExtent l="0" t="0" r="698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46146" cy="5994479"/>
                    </a:xfrm>
                    <a:prstGeom prst="rect">
                      <a:avLst/>
                    </a:prstGeom>
                    <a:noFill/>
                  </pic:spPr>
                </pic:pic>
              </a:graphicData>
            </a:graphic>
          </wp:inline>
        </w:drawing>
      </w:r>
    </w:p>
    <w:p w14:paraId="23A2A8F8" w14:textId="77777777" w:rsidR="004647E1" w:rsidRDefault="004647E1">
      <w:pPr>
        <w:rPr>
          <w:b/>
          <w:sz w:val="24"/>
          <w:szCs w:val="24"/>
        </w:rPr>
      </w:pPr>
      <w:r>
        <w:rPr>
          <w:b/>
          <w:sz w:val="24"/>
          <w:szCs w:val="24"/>
        </w:rPr>
        <w:br w:type="page"/>
      </w:r>
    </w:p>
    <w:p w14:paraId="3238E69F" w14:textId="0A82CF64" w:rsidR="00D73B7C" w:rsidRPr="00573E8A" w:rsidRDefault="00CD456E" w:rsidP="00573E8A">
      <w:pPr>
        <w:pStyle w:val="Heading1"/>
        <w:jc w:val="center"/>
        <w:rPr>
          <w:rFonts w:asciiTheme="minorHAnsi" w:hAnsiTheme="minorHAnsi" w:cstheme="minorHAnsi"/>
          <w:b/>
          <w:color w:val="auto"/>
          <w:sz w:val="24"/>
          <w:szCs w:val="24"/>
        </w:rPr>
      </w:pPr>
      <w:bookmarkStart w:id="6" w:name="_VI._Arts_and"/>
      <w:bookmarkEnd w:id="6"/>
      <w:r w:rsidRPr="00573E8A">
        <w:rPr>
          <w:rFonts w:asciiTheme="minorHAnsi" w:hAnsiTheme="minorHAnsi" w:cstheme="minorHAnsi"/>
          <w:b/>
          <w:color w:val="auto"/>
          <w:sz w:val="24"/>
          <w:szCs w:val="24"/>
        </w:rPr>
        <w:lastRenderedPageBreak/>
        <w:t xml:space="preserve">VI. </w:t>
      </w:r>
      <w:r w:rsidR="00D73B7C" w:rsidRPr="00573E8A">
        <w:rPr>
          <w:rFonts w:asciiTheme="minorHAnsi" w:hAnsiTheme="minorHAnsi" w:cstheme="minorHAnsi"/>
          <w:b/>
          <w:color w:val="auto"/>
          <w:sz w:val="24"/>
          <w:szCs w:val="24"/>
        </w:rPr>
        <w:t>Arts and Cultural Contributions to the Creative Economy</w:t>
      </w:r>
    </w:p>
    <w:p w14:paraId="151F8B06" w14:textId="441FB9A7" w:rsidR="002F0955" w:rsidRDefault="002F0955" w:rsidP="00D133EF">
      <w:pPr>
        <w:pStyle w:val="ListParagraph"/>
        <w:numPr>
          <w:ilvl w:val="0"/>
          <w:numId w:val="12"/>
        </w:numPr>
        <w:rPr>
          <w:sz w:val="24"/>
          <w:szCs w:val="24"/>
        </w:rPr>
      </w:pPr>
      <w:r>
        <w:rPr>
          <w:sz w:val="24"/>
          <w:szCs w:val="24"/>
        </w:rPr>
        <w:t>Arts and cultural production accounts for roughly half of the U.S. “creative economy.”</w:t>
      </w:r>
    </w:p>
    <w:p w14:paraId="76253221" w14:textId="1BCCBD83" w:rsidR="002F0955" w:rsidRPr="00B613E4" w:rsidRDefault="002F0955" w:rsidP="00B613E4">
      <w:pPr>
        <w:pStyle w:val="ListParagraph"/>
        <w:numPr>
          <w:ilvl w:val="1"/>
          <w:numId w:val="9"/>
        </w:numPr>
        <w:rPr>
          <w:sz w:val="24"/>
          <w:szCs w:val="24"/>
        </w:rPr>
      </w:pPr>
      <w:r w:rsidRPr="00B613E4">
        <w:rPr>
          <w:sz w:val="24"/>
          <w:szCs w:val="24"/>
        </w:rPr>
        <w:t>In 201</w:t>
      </w:r>
      <w:r w:rsidR="007C4788">
        <w:rPr>
          <w:sz w:val="24"/>
          <w:szCs w:val="24"/>
        </w:rPr>
        <w:t>6</w:t>
      </w:r>
      <w:r w:rsidRPr="00B613E4">
        <w:rPr>
          <w:sz w:val="24"/>
          <w:szCs w:val="24"/>
        </w:rPr>
        <w:t>, copyright-intensive industries contributed $</w:t>
      </w:r>
      <w:r w:rsidR="007C4788">
        <w:rPr>
          <w:sz w:val="24"/>
          <w:szCs w:val="24"/>
        </w:rPr>
        <w:t xml:space="preserve">1 trillion </w:t>
      </w:r>
      <w:r w:rsidRPr="00B613E4">
        <w:rPr>
          <w:sz w:val="24"/>
          <w:szCs w:val="24"/>
        </w:rPr>
        <w:t xml:space="preserve">to the U.S. economy. Of that value, </w:t>
      </w:r>
      <w:r w:rsidR="007C4788">
        <w:rPr>
          <w:sz w:val="24"/>
          <w:szCs w:val="24"/>
        </w:rPr>
        <w:t xml:space="preserve">nearly </w:t>
      </w:r>
      <w:r w:rsidRPr="00B613E4">
        <w:rPr>
          <w:sz w:val="24"/>
          <w:szCs w:val="24"/>
        </w:rPr>
        <w:t>$</w:t>
      </w:r>
      <w:r w:rsidR="007C4788">
        <w:rPr>
          <w:sz w:val="24"/>
          <w:szCs w:val="24"/>
        </w:rPr>
        <w:t>500</w:t>
      </w:r>
      <w:r w:rsidRPr="00B613E4">
        <w:rPr>
          <w:sz w:val="24"/>
          <w:szCs w:val="24"/>
        </w:rPr>
        <w:t xml:space="preserve"> billion stemmed from </w:t>
      </w:r>
      <w:r w:rsidR="00D133EF" w:rsidRPr="00B613E4">
        <w:rPr>
          <w:sz w:val="24"/>
          <w:szCs w:val="24"/>
        </w:rPr>
        <w:t xml:space="preserve">the </w:t>
      </w:r>
      <w:r w:rsidRPr="00B613E4">
        <w:rPr>
          <w:sz w:val="24"/>
          <w:szCs w:val="24"/>
        </w:rPr>
        <w:t>production of arts and cultural goods and services.</w:t>
      </w:r>
      <w:r w:rsidRPr="00D133EF">
        <w:rPr>
          <w:rStyle w:val="EndnoteReference"/>
          <w:sz w:val="24"/>
          <w:szCs w:val="24"/>
        </w:rPr>
        <w:t xml:space="preserve"> </w:t>
      </w:r>
      <w:r>
        <w:rPr>
          <w:rStyle w:val="EndnoteReference"/>
          <w:sz w:val="24"/>
          <w:szCs w:val="24"/>
        </w:rPr>
        <w:endnoteReference w:id="6"/>
      </w:r>
    </w:p>
    <w:p w14:paraId="473E6865" w14:textId="71C71ED8" w:rsidR="005B4918" w:rsidRDefault="005B4918" w:rsidP="004D7BC3">
      <w:pPr>
        <w:pStyle w:val="ListParagraph"/>
        <w:numPr>
          <w:ilvl w:val="0"/>
          <w:numId w:val="12"/>
        </w:numPr>
        <w:rPr>
          <w:sz w:val="24"/>
          <w:szCs w:val="24"/>
        </w:rPr>
      </w:pPr>
      <w:r>
        <w:rPr>
          <w:sz w:val="24"/>
          <w:szCs w:val="24"/>
        </w:rPr>
        <w:t>Between 201</w:t>
      </w:r>
      <w:r w:rsidR="00D872B6">
        <w:rPr>
          <w:sz w:val="24"/>
          <w:szCs w:val="24"/>
        </w:rPr>
        <w:t>4</w:t>
      </w:r>
      <w:r>
        <w:rPr>
          <w:sz w:val="24"/>
          <w:szCs w:val="24"/>
        </w:rPr>
        <w:t xml:space="preserve"> and 201</w:t>
      </w:r>
      <w:r w:rsidR="00D872B6">
        <w:rPr>
          <w:sz w:val="24"/>
          <w:szCs w:val="24"/>
        </w:rPr>
        <w:t>6</w:t>
      </w:r>
      <w:r>
        <w:rPr>
          <w:sz w:val="24"/>
          <w:szCs w:val="24"/>
        </w:rPr>
        <w:t xml:space="preserve">, average annual growth </w:t>
      </w:r>
      <w:r w:rsidR="004D7BC3">
        <w:rPr>
          <w:sz w:val="24"/>
          <w:szCs w:val="24"/>
        </w:rPr>
        <w:t xml:space="preserve">in production of </w:t>
      </w:r>
      <w:r>
        <w:rPr>
          <w:sz w:val="24"/>
          <w:szCs w:val="24"/>
        </w:rPr>
        <w:t xml:space="preserve">copyright-intensive arts and cultural goods and services grew </w:t>
      </w:r>
      <w:r w:rsidR="00D872B6">
        <w:rPr>
          <w:sz w:val="24"/>
          <w:szCs w:val="24"/>
        </w:rPr>
        <w:t>5.6</w:t>
      </w:r>
      <w:r>
        <w:rPr>
          <w:sz w:val="24"/>
          <w:szCs w:val="24"/>
        </w:rPr>
        <w:t xml:space="preserve"> percent</w:t>
      </w:r>
      <w:r w:rsidR="00DF3BD7">
        <w:rPr>
          <w:sz w:val="24"/>
          <w:szCs w:val="24"/>
        </w:rPr>
        <w:t>.</w:t>
      </w:r>
    </w:p>
    <w:p w14:paraId="6FC560F9" w14:textId="62F1E2B8" w:rsidR="00D73B7C" w:rsidRDefault="004D7BC3" w:rsidP="00D872B6">
      <w:pPr>
        <w:pStyle w:val="ListParagraph"/>
        <w:numPr>
          <w:ilvl w:val="2"/>
          <w:numId w:val="12"/>
        </w:numPr>
        <w:ind w:left="1267" w:hanging="187"/>
        <w:rPr>
          <w:sz w:val="24"/>
          <w:szCs w:val="24"/>
        </w:rPr>
      </w:pPr>
      <w:r w:rsidRPr="00D872B6">
        <w:rPr>
          <w:sz w:val="24"/>
          <w:szCs w:val="24"/>
        </w:rPr>
        <w:t xml:space="preserve">Average annual growth in production was particularly strong </w:t>
      </w:r>
      <w:r w:rsidR="003662FF" w:rsidRPr="00D872B6">
        <w:rPr>
          <w:sz w:val="24"/>
          <w:szCs w:val="24"/>
        </w:rPr>
        <w:t>for</w:t>
      </w:r>
      <w:r w:rsidR="00D872B6" w:rsidRPr="00D872B6">
        <w:rPr>
          <w:sz w:val="24"/>
          <w:szCs w:val="24"/>
        </w:rPr>
        <w:t>:</w:t>
      </w:r>
      <w:r w:rsidRPr="00D872B6">
        <w:rPr>
          <w:sz w:val="24"/>
          <w:szCs w:val="24"/>
        </w:rPr>
        <w:t xml:space="preserve"> </w:t>
      </w:r>
      <w:r w:rsidR="00D872B6" w:rsidRPr="00D872B6">
        <w:rPr>
          <w:sz w:val="24"/>
          <w:szCs w:val="24"/>
        </w:rPr>
        <w:t>sound recording; “other</w:t>
      </w:r>
      <w:r w:rsidRPr="00D872B6">
        <w:rPr>
          <w:sz w:val="24"/>
          <w:szCs w:val="24"/>
        </w:rPr>
        <w:t xml:space="preserve"> information services” (which includes Internet publishing and broadcasting/streaming); arts-related computer systems design</w:t>
      </w:r>
      <w:r w:rsidR="00E347B7" w:rsidRPr="00D872B6">
        <w:rPr>
          <w:sz w:val="24"/>
          <w:szCs w:val="24"/>
        </w:rPr>
        <w:t xml:space="preserve"> (supporting motion picture production and sound recordings)</w:t>
      </w:r>
      <w:r w:rsidRPr="00D872B6">
        <w:rPr>
          <w:sz w:val="24"/>
          <w:szCs w:val="24"/>
        </w:rPr>
        <w:t xml:space="preserve">; </w:t>
      </w:r>
      <w:r w:rsidR="00D872B6">
        <w:rPr>
          <w:sz w:val="24"/>
          <w:szCs w:val="24"/>
        </w:rPr>
        <w:t xml:space="preserve">and publishing (which includes arts-related software publishing). </w:t>
      </w:r>
    </w:p>
    <w:p w14:paraId="74938914" w14:textId="77777777" w:rsidR="00D872B6" w:rsidRPr="00D872B6" w:rsidRDefault="00D872B6" w:rsidP="00D872B6">
      <w:pPr>
        <w:ind w:left="1080"/>
        <w:rPr>
          <w:sz w:val="24"/>
          <w:szCs w:val="24"/>
        </w:rPr>
      </w:pPr>
    </w:p>
    <w:p w14:paraId="02262A4B" w14:textId="489E1285" w:rsidR="00D73B7C" w:rsidRDefault="00EA45C7">
      <w:pPr>
        <w:rPr>
          <w:sz w:val="24"/>
          <w:szCs w:val="24"/>
        </w:rPr>
      </w:pPr>
      <w:r w:rsidRPr="00EA45C7">
        <w:rPr>
          <w:noProof/>
        </w:rPr>
        <w:drawing>
          <wp:inline distT="0" distB="0" distL="0" distR="0" wp14:anchorId="3F33C9C7" wp14:editId="7E67CED9">
            <wp:extent cx="5518205" cy="5302925"/>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48388" cy="5331931"/>
                    </a:xfrm>
                    <a:prstGeom prst="rect">
                      <a:avLst/>
                    </a:prstGeom>
                    <a:noFill/>
                    <a:ln>
                      <a:noFill/>
                    </a:ln>
                  </pic:spPr>
                </pic:pic>
              </a:graphicData>
            </a:graphic>
          </wp:inline>
        </w:drawing>
      </w:r>
    </w:p>
    <w:p w14:paraId="0D314036" w14:textId="76D4B189" w:rsidR="00D73B7C" w:rsidRDefault="0018671B">
      <w:pPr>
        <w:rPr>
          <w:sz w:val="24"/>
          <w:szCs w:val="24"/>
        </w:rPr>
      </w:pPr>
      <w:r>
        <w:rPr>
          <w:sz w:val="24"/>
          <w:szCs w:val="24"/>
        </w:rPr>
        <w:lastRenderedPageBreak/>
        <w:t xml:space="preserve"> </w:t>
      </w:r>
      <w:r w:rsidR="00AB78FD" w:rsidRPr="00AB78FD">
        <w:rPr>
          <w:noProof/>
        </w:rPr>
        <w:drawing>
          <wp:inline distT="0" distB="0" distL="0" distR="0" wp14:anchorId="578B7A02" wp14:editId="1AB041B0">
            <wp:extent cx="5860415" cy="4397375"/>
            <wp:effectExtent l="0" t="0" r="6985"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60415" cy="4397375"/>
                    </a:xfrm>
                    <a:prstGeom prst="rect">
                      <a:avLst/>
                    </a:prstGeom>
                    <a:noFill/>
                    <a:ln>
                      <a:noFill/>
                    </a:ln>
                  </pic:spPr>
                </pic:pic>
              </a:graphicData>
            </a:graphic>
          </wp:inline>
        </w:drawing>
      </w:r>
    </w:p>
    <w:p w14:paraId="272D8F9C" w14:textId="77777777" w:rsidR="002070DD" w:rsidRDefault="002070DD" w:rsidP="00D73B7C">
      <w:pPr>
        <w:rPr>
          <w:sz w:val="24"/>
          <w:szCs w:val="24"/>
        </w:rPr>
      </w:pPr>
    </w:p>
    <w:p w14:paraId="35791D9B" w14:textId="2FF6A896" w:rsidR="00273AD7" w:rsidRDefault="00273AD7" w:rsidP="00D73B7C">
      <w:pPr>
        <w:rPr>
          <w:sz w:val="24"/>
          <w:szCs w:val="24"/>
        </w:rPr>
      </w:pPr>
      <w:r>
        <w:rPr>
          <w:sz w:val="24"/>
          <w:szCs w:val="24"/>
        </w:rPr>
        <w:br w:type="page"/>
      </w:r>
    </w:p>
    <w:p w14:paraId="02718072" w14:textId="575AEFD7" w:rsidR="006C04D7" w:rsidRPr="00573E8A" w:rsidRDefault="00CD456E" w:rsidP="00573E8A">
      <w:pPr>
        <w:pStyle w:val="Heading1"/>
        <w:jc w:val="center"/>
        <w:rPr>
          <w:rFonts w:asciiTheme="minorHAnsi" w:hAnsiTheme="minorHAnsi" w:cstheme="minorHAnsi"/>
          <w:b/>
          <w:color w:val="auto"/>
          <w:sz w:val="24"/>
          <w:szCs w:val="24"/>
        </w:rPr>
      </w:pPr>
      <w:bookmarkStart w:id="7" w:name="_VII._Exports_of"/>
      <w:bookmarkEnd w:id="7"/>
      <w:r w:rsidRPr="00573E8A">
        <w:rPr>
          <w:rFonts w:asciiTheme="minorHAnsi" w:hAnsiTheme="minorHAnsi" w:cstheme="minorHAnsi"/>
          <w:b/>
          <w:color w:val="auto"/>
          <w:sz w:val="24"/>
          <w:szCs w:val="24"/>
        </w:rPr>
        <w:lastRenderedPageBreak/>
        <w:t xml:space="preserve">VII. </w:t>
      </w:r>
      <w:r w:rsidR="00EC312E" w:rsidRPr="00573E8A">
        <w:rPr>
          <w:rFonts w:asciiTheme="minorHAnsi" w:hAnsiTheme="minorHAnsi" w:cstheme="minorHAnsi"/>
          <w:b/>
          <w:color w:val="auto"/>
          <w:sz w:val="24"/>
          <w:szCs w:val="24"/>
        </w:rPr>
        <w:t>Exports of Arts and Cultural Goods and Services</w:t>
      </w:r>
    </w:p>
    <w:p w14:paraId="575941FF" w14:textId="3AEB6331" w:rsidR="00EC312E" w:rsidRDefault="00403E38" w:rsidP="00403E38">
      <w:pPr>
        <w:pStyle w:val="ListParagraph"/>
        <w:numPr>
          <w:ilvl w:val="0"/>
          <w:numId w:val="10"/>
        </w:numPr>
        <w:jc w:val="both"/>
        <w:rPr>
          <w:sz w:val="24"/>
          <w:szCs w:val="24"/>
        </w:rPr>
      </w:pPr>
      <w:r>
        <w:rPr>
          <w:sz w:val="24"/>
          <w:szCs w:val="24"/>
        </w:rPr>
        <w:t>The U.S. exports more arts and cultural goods and services than it imports, resulting in a trade surplus</w:t>
      </w:r>
      <w:r w:rsidR="00DF3BD7">
        <w:rPr>
          <w:sz w:val="24"/>
          <w:szCs w:val="24"/>
        </w:rPr>
        <w:t>.</w:t>
      </w:r>
    </w:p>
    <w:p w14:paraId="1645B067" w14:textId="42ECC8EE" w:rsidR="00403E38" w:rsidRDefault="00720194" w:rsidP="00403E38">
      <w:pPr>
        <w:pStyle w:val="ListParagraph"/>
        <w:numPr>
          <w:ilvl w:val="1"/>
          <w:numId w:val="10"/>
        </w:numPr>
        <w:jc w:val="both"/>
        <w:rPr>
          <w:sz w:val="24"/>
          <w:szCs w:val="24"/>
        </w:rPr>
      </w:pPr>
      <w:r>
        <w:rPr>
          <w:sz w:val="24"/>
          <w:szCs w:val="24"/>
        </w:rPr>
        <w:t>In 201</w:t>
      </w:r>
      <w:r w:rsidR="00D108B7">
        <w:rPr>
          <w:sz w:val="24"/>
          <w:szCs w:val="24"/>
        </w:rPr>
        <w:t>6</w:t>
      </w:r>
      <w:r>
        <w:rPr>
          <w:sz w:val="24"/>
          <w:szCs w:val="24"/>
        </w:rPr>
        <w:t>, the U.S. exported nearly $2</w:t>
      </w:r>
      <w:r w:rsidR="00D108B7">
        <w:rPr>
          <w:sz w:val="24"/>
          <w:szCs w:val="24"/>
        </w:rPr>
        <w:t>5</w:t>
      </w:r>
      <w:r>
        <w:rPr>
          <w:sz w:val="24"/>
          <w:szCs w:val="24"/>
        </w:rPr>
        <w:t xml:space="preserve"> billion more in arts and cultural goods and services than it imported.</w:t>
      </w:r>
    </w:p>
    <w:p w14:paraId="0A8D24F4" w14:textId="1C6E9192" w:rsidR="00720194" w:rsidRDefault="00720194" w:rsidP="00403E38">
      <w:pPr>
        <w:pStyle w:val="ListParagraph"/>
        <w:numPr>
          <w:ilvl w:val="1"/>
          <w:numId w:val="10"/>
        </w:numPr>
        <w:jc w:val="both"/>
        <w:rPr>
          <w:sz w:val="24"/>
          <w:szCs w:val="24"/>
        </w:rPr>
      </w:pPr>
      <w:r>
        <w:rPr>
          <w:sz w:val="24"/>
          <w:szCs w:val="24"/>
        </w:rPr>
        <w:t xml:space="preserve">The arts and cultural trade surplus has </w:t>
      </w:r>
      <w:r w:rsidR="00DF3BD7">
        <w:rPr>
          <w:sz w:val="24"/>
          <w:szCs w:val="24"/>
        </w:rPr>
        <w:t>increased since 2006, when it was $2 billion.</w:t>
      </w:r>
    </w:p>
    <w:p w14:paraId="74021CEC" w14:textId="77777777" w:rsidR="006D4E8E" w:rsidRPr="006D4E8E" w:rsidRDefault="006D4E8E" w:rsidP="006D4E8E">
      <w:pPr>
        <w:ind w:left="360"/>
        <w:jc w:val="both"/>
        <w:rPr>
          <w:sz w:val="24"/>
          <w:szCs w:val="24"/>
        </w:rPr>
      </w:pPr>
    </w:p>
    <w:p w14:paraId="63CF6DB2" w14:textId="6B027F07" w:rsidR="00720194" w:rsidRDefault="006D4E8E" w:rsidP="00720194">
      <w:pPr>
        <w:jc w:val="both"/>
        <w:rPr>
          <w:sz w:val="24"/>
          <w:szCs w:val="24"/>
        </w:rPr>
      </w:pPr>
      <w:r>
        <w:rPr>
          <w:noProof/>
        </w:rPr>
        <w:drawing>
          <wp:inline distT="0" distB="0" distL="0" distR="0" wp14:anchorId="59D018D1" wp14:editId="17E35A2B">
            <wp:extent cx="5657850" cy="5172076"/>
            <wp:effectExtent l="0" t="0" r="0" b="952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27B02354" w14:textId="45D7E178" w:rsidR="00145235" w:rsidRDefault="00145235">
      <w:pPr>
        <w:rPr>
          <w:sz w:val="24"/>
          <w:szCs w:val="24"/>
        </w:rPr>
      </w:pPr>
      <w:r>
        <w:rPr>
          <w:sz w:val="24"/>
          <w:szCs w:val="24"/>
        </w:rPr>
        <w:br w:type="page"/>
      </w:r>
    </w:p>
    <w:p w14:paraId="05F1A385" w14:textId="77777777" w:rsidR="00963F4F" w:rsidRDefault="00963F4F" w:rsidP="00720194">
      <w:pPr>
        <w:jc w:val="both"/>
        <w:rPr>
          <w:sz w:val="24"/>
          <w:szCs w:val="24"/>
        </w:rPr>
      </w:pPr>
    </w:p>
    <w:p w14:paraId="2B4802F1" w14:textId="07580E59" w:rsidR="00720194" w:rsidRDefault="00720194" w:rsidP="006D4E8E">
      <w:pPr>
        <w:pStyle w:val="ListParagraph"/>
        <w:numPr>
          <w:ilvl w:val="0"/>
          <w:numId w:val="10"/>
        </w:numPr>
        <w:jc w:val="both"/>
        <w:rPr>
          <w:sz w:val="24"/>
          <w:szCs w:val="24"/>
        </w:rPr>
      </w:pPr>
      <w:r>
        <w:rPr>
          <w:sz w:val="24"/>
          <w:szCs w:val="24"/>
        </w:rPr>
        <w:t xml:space="preserve">ACPSA exports are driven by movies and TV programs, </w:t>
      </w:r>
      <w:r w:rsidR="00963F4F">
        <w:rPr>
          <w:sz w:val="24"/>
          <w:szCs w:val="24"/>
        </w:rPr>
        <w:t>advertising, arts-related software (e.g., video games)</w:t>
      </w:r>
      <w:r w:rsidR="008D55BE">
        <w:rPr>
          <w:sz w:val="24"/>
          <w:szCs w:val="24"/>
        </w:rPr>
        <w:t>, and</w:t>
      </w:r>
      <w:r w:rsidR="008D55BE" w:rsidRPr="008D55BE">
        <w:rPr>
          <w:sz w:val="24"/>
          <w:szCs w:val="24"/>
        </w:rPr>
        <w:t xml:space="preserve"> </w:t>
      </w:r>
      <w:r w:rsidR="009414B8">
        <w:rPr>
          <w:sz w:val="24"/>
          <w:szCs w:val="24"/>
        </w:rPr>
        <w:t>jewelry and silverware.</w:t>
      </w:r>
    </w:p>
    <w:p w14:paraId="04A59E96" w14:textId="015AF43B" w:rsidR="00963F4F" w:rsidRDefault="00963F4F" w:rsidP="00963F4F">
      <w:pPr>
        <w:pStyle w:val="ListParagraph"/>
        <w:numPr>
          <w:ilvl w:val="1"/>
          <w:numId w:val="10"/>
        </w:numPr>
        <w:jc w:val="both"/>
        <w:rPr>
          <w:sz w:val="24"/>
          <w:szCs w:val="24"/>
        </w:rPr>
      </w:pPr>
      <w:r>
        <w:rPr>
          <w:sz w:val="24"/>
          <w:szCs w:val="24"/>
        </w:rPr>
        <w:t>In 201</w:t>
      </w:r>
      <w:r w:rsidR="008D55BE">
        <w:rPr>
          <w:sz w:val="24"/>
          <w:szCs w:val="24"/>
        </w:rPr>
        <w:t>6</w:t>
      </w:r>
      <w:r>
        <w:rPr>
          <w:sz w:val="24"/>
          <w:szCs w:val="24"/>
        </w:rPr>
        <w:t>, those commodities accounted for $</w:t>
      </w:r>
      <w:r w:rsidR="008D55BE">
        <w:rPr>
          <w:sz w:val="24"/>
          <w:szCs w:val="24"/>
        </w:rPr>
        <w:t>44.2</w:t>
      </w:r>
      <w:r>
        <w:rPr>
          <w:sz w:val="24"/>
          <w:szCs w:val="24"/>
        </w:rPr>
        <w:t xml:space="preserve"> billion, or nearly </w:t>
      </w:r>
      <w:r w:rsidR="008D55BE">
        <w:rPr>
          <w:sz w:val="24"/>
          <w:szCs w:val="24"/>
        </w:rPr>
        <w:t>68</w:t>
      </w:r>
      <w:r>
        <w:rPr>
          <w:sz w:val="24"/>
          <w:szCs w:val="24"/>
        </w:rPr>
        <w:t xml:space="preserve"> percent of all ACPSA exports.</w:t>
      </w:r>
    </w:p>
    <w:p w14:paraId="7E75D5D4" w14:textId="73441626" w:rsidR="00963F4F" w:rsidRDefault="00963F4F" w:rsidP="00963F4F">
      <w:pPr>
        <w:pStyle w:val="ListParagraph"/>
        <w:numPr>
          <w:ilvl w:val="1"/>
          <w:numId w:val="10"/>
        </w:numPr>
        <w:jc w:val="both"/>
        <w:rPr>
          <w:sz w:val="24"/>
          <w:szCs w:val="24"/>
        </w:rPr>
      </w:pPr>
      <w:r>
        <w:rPr>
          <w:sz w:val="24"/>
          <w:szCs w:val="24"/>
        </w:rPr>
        <w:t>Other</w:t>
      </w:r>
      <w:r w:rsidR="00C427D2">
        <w:rPr>
          <w:sz w:val="24"/>
          <w:szCs w:val="24"/>
        </w:rPr>
        <w:t xml:space="preserve"> </w:t>
      </w:r>
      <w:r>
        <w:rPr>
          <w:sz w:val="24"/>
          <w:szCs w:val="24"/>
        </w:rPr>
        <w:t xml:space="preserve">notable U.S. exports of arts and cultural goods and services include </w:t>
      </w:r>
      <w:r w:rsidR="008D55BE">
        <w:rPr>
          <w:sz w:val="24"/>
          <w:szCs w:val="24"/>
        </w:rPr>
        <w:t xml:space="preserve">sound recording (which generated $2.8 billion in exports in 2016) and </w:t>
      </w:r>
      <w:r>
        <w:rPr>
          <w:sz w:val="24"/>
          <w:szCs w:val="24"/>
        </w:rPr>
        <w:t xml:space="preserve">works by performing arts companies and independent </w:t>
      </w:r>
      <w:r w:rsidR="004B060A">
        <w:rPr>
          <w:sz w:val="24"/>
          <w:szCs w:val="24"/>
        </w:rPr>
        <w:t>artists, writers, and entertainers</w:t>
      </w:r>
      <w:r>
        <w:rPr>
          <w:sz w:val="24"/>
          <w:szCs w:val="24"/>
        </w:rPr>
        <w:t xml:space="preserve"> (generating $1.</w:t>
      </w:r>
      <w:r w:rsidR="008D55BE">
        <w:rPr>
          <w:sz w:val="24"/>
          <w:szCs w:val="24"/>
        </w:rPr>
        <w:t>5</w:t>
      </w:r>
      <w:r>
        <w:rPr>
          <w:sz w:val="24"/>
          <w:szCs w:val="24"/>
        </w:rPr>
        <w:t xml:space="preserve"> billion in U.S. exports).</w:t>
      </w:r>
    </w:p>
    <w:p w14:paraId="09992FAA" w14:textId="77777777" w:rsidR="00963F4F" w:rsidRPr="00963F4F" w:rsidRDefault="00963F4F" w:rsidP="00963F4F">
      <w:pPr>
        <w:ind w:left="1080"/>
        <w:jc w:val="both"/>
        <w:rPr>
          <w:sz w:val="24"/>
          <w:szCs w:val="24"/>
        </w:rPr>
      </w:pPr>
    </w:p>
    <w:p w14:paraId="35ACE313" w14:textId="51E12762" w:rsidR="004647E1" w:rsidRPr="004B52D4" w:rsidRDefault="00A0368F" w:rsidP="009414B8">
      <w:pPr>
        <w:jc w:val="both"/>
        <w:rPr>
          <w:sz w:val="24"/>
          <w:szCs w:val="24"/>
        </w:rPr>
      </w:pPr>
      <w:r w:rsidRPr="00A0368F">
        <w:rPr>
          <w:noProof/>
        </w:rPr>
        <w:lastRenderedPageBreak/>
        <w:t xml:space="preserve"> </w:t>
      </w:r>
      <w:r w:rsidR="00AB78FD">
        <w:rPr>
          <w:noProof/>
        </w:rPr>
        <w:drawing>
          <wp:inline distT="0" distB="0" distL="0" distR="0" wp14:anchorId="3B02E78D" wp14:editId="107E43C2">
            <wp:extent cx="5899047" cy="5263764"/>
            <wp:effectExtent l="0" t="0" r="698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1"/>
                    <a:srcRect b="464"/>
                    <a:stretch/>
                  </pic:blipFill>
                  <pic:spPr bwMode="auto">
                    <a:xfrm>
                      <a:off x="0" y="0"/>
                      <a:ext cx="5946446" cy="5306059"/>
                    </a:xfrm>
                    <a:prstGeom prst="rect">
                      <a:avLst/>
                    </a:prstGeom>
                    <a:ln>
                      <a:noFill/>
                    </a:ln>
                    <a:extLst>
                      <a:ext uri="{53640926-AAD7-44D8-BBD7-CCE9431645EC}">
                        <a14:shadowObscured xmlns:a14="http://schemas.microsoft.com/office/drawing/2010/main"/>
                      </a:ext>
                    </a:extLst>
                  </pic:spPr>
                </pic:pic>
              </a:graphicData>
            </a:graphic>
          </wp:inline>
        </w:drawing>
      </w:r>
      <w:r w:rsidR="00614298" w:rsidRPr="002070DD">
        <w:rPr>
          <w:noProof/>
          <w:sz w:val="24"/>
          <w:szCs w:val="24"/>
        </w:rPr>
        <mc:AlternateContent>
          <mc:Choice Requires="wps">
            <w:drawing>
              <wp:anchor distT="45720" distB="45720" distL="114300" distR="114300" simplePos="0" relativeHeight="251659264" behindDoc="0" locked="0" layoutInCell="1" allowOverlap="1" wp14:anchorId="430C793A" wp14:editId="2C0FB6DD">
                <wp:simplePos x="0" y="0"/>
                <wp:positionH relativeFrom="margin">
                  <wp:align>left</wp:align>
                </wp:positionH>
                <wp:positionV relativeFrom="paragraph">
                  <wp:posOffset>0</wp:posOffset>
                </wp:positionV>
                <wp:extent cx="5800725" cy="32956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3295650"/>
                        </a:xfrm>
                        <a:prstGeom prst="rect">
                          <a:avLst/>
                        </a:prstGeom>
                        <a:solidFill>
                          <a:srgbClr val="B8DED5"/>
                        </a:solidFill>
                        <a:ln w="9525">
                          <a:solidFill>
                            <a:srgbClr val="000000"/>
                          </a:solidFill>
                          <a:miter lim="800000"/>
                          <a:headEnd/>
                          <a:tailEnd/>
                        </a:ln>
                      </wps:spPr>
                      <wps:txbx>
                        <w:txbxContent>
                          <w:p w14:paraId="3260A733" w14:textId="6375993A" w:rsidR="00C46A2D" w:rsidRPr="00C46A2D" w:rsidRDefault="00C46A2D" w:rsidP="00C46A2D">
                            <w:pPr>
                              <w:rPr>
                                <w:b/>
                              </w:rPr>
                            </w:pPr>
                            <w:r>
                              <w:rPr>
                                <w:b/>
                              </w:rPr>
                              <w:t xml:space="preserve">                                </w:t>
                            </w:r>
                            <w:r w:rsidRPr="00C46A2D">
                              <w:rPr>
                                <w:b/>
                              </w:rPr>
                              <w:t>A Postscript: Arts and Cultural Production as Investment</w:t>
                            </w:r>
                          </w:p>
                          <w:p w14:paraId="24AE4FE5" w14:textId="77777777" w:rsidR="00614298" w:rsidRDefault="00614298" w:rsidP="00614298">
                            <w:r>
                              <w:t>Historically, private fixed assets were in the form of physical capital (i.e., plant and equipment assets). In more recent years, however, the BEA has expanded its definition of investment to include the capitalization of intangible assets.</w:t>
                            </w:r>
                          </w:p>
                          <w:p w14:paraId="4E3BD005" w14:textId="77777777" w:rsidR="00614298" w:rsidRDefault="00614298" w:rsidP="00614298">
                            <w:r>
                              <w:t>For example, software development was first counted as fixed private investment in 1999. And in 2013, the national income and product accounts (NIPAs) were revised to include research and development expenditures as investment.</w:t>
                            </w:r>
                          </w:p>
                          <w:p w14:paraId="67A822C3" w14:textId="77777777" w:rsidR="00614298" w:rsidRDefault="00614298" w:rsidP="00614298">
                            <w:r>
                              <w:t>Also in 2013 was the BEA revision that capitalized “entertainment originals.” Entertainment originals refer to theatrical movies; long‐lived television programs; books; music; and other “miscellaneous entertainment” such as scripts and scores for the performing arts, greeting card designs, and stock photography.</w:t>
                            </w:r>
                          </w:p>
                          <w:p w14:paraId="384A6F9A" w14:textId="77777777" w:rsidR="00614298" w:rsidRDefault="00614298" w:rsidP="00614298">
                            <w:r>
                              <w:t xml:space="preserve">In 2014, for example, investment in entertainment originals was </w:t>
                            </w:r>
                            <w:r w:rsidRPr="00D07C8E">
                              <w:rPr>
                                <w:b/>
                              </w:rPr>
                              <w:t>$7</w:t>
                            </w:r>
                            <w:r>
                              <w:rPr>
                                <w:b/>
                              </w:rPr>
                              <w:t>2</w:t>
                            </w:r>
                            <w:r w:rsidRPr="00D07C8E">
                              <w:rPr>
                                <w:b/>
                              </w:rPr>
                              <w:t xml:space="preserve"> billion</w:t>
                            </w:r>
                            <w:r>
                              <w:t xml:space="preserve">. In 2016, that investment rose to nearly </w:t>
                            </w:r>
                            <w:r w:rsidRPr="00D07C8E">
                              <w:rPr>
                                <w:b/>
                              </w:rPr>
                              <w:t>$</w:t>
                            </w:r>
                            <w:r>
                              <w:rPr>
                                <w:b/>
                              </w:rPr>
                              <w:t>81</w:t>
                            </w:r>
                            <w:r w:rsidRPr="00D07C8E">
                              <w:rPr>
                                <w:b/>
                              </w:rPr>
                              <w:t xml:space="preserve"> billion</w:t>
                            </w:r>
                            <w:r>
                              <w:rPr>
                                <w:b/>
                              </w:rPr>
                              <w:t>.</w:t>
                            </w:r>
                            <w:r>
                              <w:t xml:space="preserve"> During this period, and after adjusting for inflation, average annual growth for this type of capital investment was 10.7 percent.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0C793A" id="_x0000_t202" coordsize="21600,21600" o:spt="202" path="m,l,21600r21600,l21600,xe">
                <v:stroke joinstyle="miter"/>
                <v:path gradientshapeok="t" o:connecttype="rect"/>
              </v:shapetype>
              <v:shape id="Text Box 2" o:spid="_x0000_s1026" type="#_x0000_t202" style="position:absolute;margin-left:0;margin-top:0;width:456.75pt;height:259.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" fillcolor="#b8ded5">
                <v:textbox>
                  <w:txbxContent>
                    <w:p w14:paraId="3260A733" w14:textId="6375993A" w:rsidR="00C46A2D" w:rsidRPr="00C46A2D" w:rsidRDefault="00C46A2D" w:rsidP="00C46A2D">
                      <w:pPr>
                        <w:rPr>
                          <w:b/>
                        </w:rPr>
                      </w:pPr>
                      <w:r>
                        <w:rPr>
                          <w:b/>
                        </w:rPr>
                        <w:t xml:space="preserve">                                </w:t>
                      </w:r>
                      <w:r w:rsidRPr="00C46A2D">
                        <w:rPr>
                          <w:b/>
                        </w:rPr>
                        <w:t>A Postscript: Arts and Cultural Production as Investment</w:t>
                      </w:r>
                    </w:p>
                    <w:p w14:paraId="24AE4FE5" w14:textId="77777777" w:rsidR="00614298" w:rsidRDefault="00614298" w:rsidP="00614298">
                      <w:r>
                        <w:t>Historically, private fixed assets were in the form of physical capital (i.e., plant and equipment assets). In more recent years, however, the BEA has expanded its definition of investment to include the capitalization of intangible assets.</w:t>
                      </w:r>
                    </w:p>
                    <w:p w14:paraId="4E3BD005" w14:textId="77777777" w:rsidR="00614298" w:rsidRDefault="00614298" w:rsidP="00614298">
                      <w:r>
                        <w:t>For example, software development was first counted as fixed private investment in 1999. And in 2013, the national income and product accounts (NIPAs) were revised to include research and development expenditures as investment.</w:t>
                      </w:r>
                    </w:p>
                    <w:p w14:paraId="67A822C3" w14:textId="77777777" w:rsidR="00614298" w:rsidRDefault="00614298" w:rsidP="00614298">
                      <w:r>
                        <w:t>Also in 2013 was the BEA revision that capitalized “entertainment originals.” Entertainment originals refer to theatrical movies; long‐lived television programs; books; music; and other “miscellaneous entertainment” such as scripts and scores for the performing arts, greeting card designs, and stock photography.</w:t>
                      </w:r>
                    </w:p>
                    <w:p w14:paraId="384A6F9A" w14:textId="77777777" w:rsidR="00614298" w:rsidRDefault="00614298" w:rsidP="00614298">
                      <w:r>
                        <w:t xml:space="preserve">In 2014, for example, investment in entertainment originals was </w:t>
                      </w:r>
                      <w:r w:rsidRPr="00D07C8E">
                        <w:rPr>
                          <w:b/>
                        </w:rPr>
                        <w:t>$7</w:t>
                      </w:r>
                      <w:r>
                        <w:rPr>
                          <w:b/>
                        </w:rPr>
                        <w:t>2</w:t>
                      </w:r>
                      <w:r w:rsidRPr="00D07C8E">
                        <w:rPr>
                          <w:b/>
                        </w:rPr>
                        <w:t xml:space="preserve"> billion</w:t>
                      </w:r>
                      <w:r>
                        <w:t xml:space="preserve">. In 2016, that investment rose to nearly </w:t>
                      </w:r>
                      <w:r w:rsidRPr="00D07C8E">
                        <w:rPr>
                          <w:b/>
                        </w:rPr>
                        <w:t>$</w:t>
                      </w:r>
                      <w:r>
                        <w:rPr>
                          <w:b/>
                        </w:rPr>
                        <w:t>81</w:t>
                      </w:r>
                      <w:r w:rsidRPr="00D07C8E">
                        <w:rPr>
                          <w:b/>
                        </w:rPr>
                        <w:t xml:space="preserve"> billion</w:t>
                      </w:r>
                      <w:r>
                        <w:rPr>
                          <w:b/>
                        </w:rPr>
                        <w:t>.</w:t>
                      </w:r>
                      <w:r>
                        <w:t xml:space="preserve"> During this period, and after adjusting for inflation, average annual growth for this type of capital investment was 10.7 percent.</w:t>
                      </w:r>
                    </w:p>
                  </w:txbxContent>
                </v:textbox>
                <w10:wrap type="square" anchorx="margin"/>
              </v:shape>
            </w:pict>
          </mc:Fallback>
        </mc:AlternateContent>
      </w:r>
    </w:p>
    <w:sectPr w:rsidR="004647E1" w:rsidRPr="004B52D4">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A83D2B" w14:textId="77777777" w:rsidR="004F49AF" w:rsidRDefault="004F49AF" w:rsidP="001B40A4">
      <w:pPr>
        <w:spacing w:after="0" w:line="240" w:lineRule="auto"/>
      </w:pPr>
      <w:r>
        <w:separator/>
      </w:r>
    </w:p>
  </w:endnote>
  <w:endnote w:type="continuationSeparator" w:id="0">
    <w:p w14:paraId="71F18342" w14:textId="77777777" w:rsidR="004F49AF" w:rsidRDefault="004F49AF" w:rsidP="001B40A4">
      <w:pPr>
        <w:spacing w:after="0" w:line="240" w:lineRule="auto"/>
      </w:pPr>
      <w:r>
        <w:continuationSeparator/>
      </w:r>
    </w:p>
  </w:endnote>
  <w:endnote w:id="1">
    <w:p w14:paraId="3AC06C57" w14:textId="090EA07C" w:rsidR="00B9095B" w:rsidRDefault="00B9095B">
      <w:pPr>
        <w:pStyle w:val="EndnoteText"/>
      </w:pPr>
      <w:r>
        <w:rPr>
          <w:rStyle w:val="EndnoteReference"/>
        </w:rPr>
        <w:endnoteRef/>
      </w:r>
      <w:r>
        <w:t xml:space="preserve"> “School-based” refers to primary, secondary, and post-secondary arts education.</w:t>
      </w:r>
    </w:p>
  </w:endnote>
  <w:endnote w:id="2">
    <w:p w14:paraId="209E349F" w14:textId="1BDDE2A8" w:rsidR="00FB175C" w:rsidRDefault="001E0D9D" w:rsidP="00B73790">
      <w:pPr>
        <w:pStyle w:val="EndnoteText"/>
      </w:pPr>
      <w:r>
        <w:rPr>
          <w:rStyle w:val="EndnoteReference"/>
        </w:rPr>
        <w:endnoteRef/>
      </w:r>
      <w:r>
        <w:t xml:space="preserve"> </w:t>
      </w:r>
      <w:r w:rsidR="00B73790">
        <w:t xml:space="preserve">See </w:t>
      </w:r>
      <w:r w:rsidR="00B73790" w:rsidRPr="00B73790">
        <w:rPr>
          <w:i/>
        </w:rPr>
        <w:t>U.S. Arts and Cultural Production Satellite Account: Issue Brief #4, Trends in U.S. Arts Education (1998-2013)</w:t>
      </w:r>
      <w:r w:rsidR="00B73790">
        <w:t xml:space="preserve">. </w:t>
      </w:r>
    </w:p>
    <w:p w14:paraId="70557EDE" w14:textId="2AEA86EF" w:rsidR="00FB175C" w:rsidRDefault="0051338F" w:rsidP="00B73790">
      <w:pPr>
        <w:pStyle w:val="EndnoteText"/>
      </w:pPr>
      <w:r w:rsidRPr="0051338F">
        <w:t>Stability in the provision of arts education reported for 2016 coincides with real growth in state government expenditures on education. According to estimates published by the U.S. Census Bureau, between 2015 and 2016, state government outlays on education grew by 6.2 percent. Over the same period, the Bureau of Economic Analysis reports that inflation, measured by the personal consumption expenditures index (excluding food and energy), grew by less than 2 percent; BEA’s price index for state and local government expenditures and gross investment showed no change between 2015 and 2016.</w:t>
      </w:r>
    </w:p>
    <w:p w14:paraId="1D0550F1" w14:textId="2A4D0838" w:rsidR="00FB175C" w:rsidRDefault="0051338F" w:rsidP="00B73790">
      <w:pPr>
        <w:pStyle w:val="EndnoteText"/>
      </w:pPr>
      <w:r w:rsidRPr="0051338F">
        <w:t>It remains unclear how and whether the Every Student Succeeds Act may have contributed to stability in arts education, as reflected in the Arts and Cultural Production Satellite Account. The law, which gives a greater role to states for school accountability, and which includes the arts in its definition of a “well-rounded education,” was enacted only in December 2015.</w:t>
      </w:r>
      <w:r w:rsidR="00FB388D">
        <w:t xml:space="preserve"> </w:t>
      </w:r>
    </w:p>
  </w:endnote>
  <w:endnote w:id="3">
    <w:p w14:paraId="293DC727" w14:textId="6FB2DDCB" w:rsidR="001B40A4" w:rsidRDefault="001B40A4" w:rsidP="001B40A4">
      <w:pPr>
        <w:pStyle w:val="EndnoteText"/>
      </w:pPr>
      <w:r>
        <w:rPr>
          <w:rStyle w:val="EndnoteReference"/>
        </w:rPr>
        <w:endnoteRef/>
      </w:r>
      <w:r>
        <w:t xml:space="preserve"> The </w:t>
      </w:r>
      <w:r w:rsidR="00717924">
        <w:t>sectors given</w:t>
      </w:r>
      <w:r>
        <w:t xml:space="preserve"> below are not mutually exclusive. For example, arts and cultural production includes parts of</w:t>
      </w:r>
      <w:r w:rsidR="00717924">
        <w:t xml:space="preserve"> the</w:t>
      </w:r>
      <w:r>
        <w:t xml:space="preserve"> construction</w:t>
      </w:r>
      <w:r w:rsidR="00717924">
        <w:t xml:space="preserve"> sector</w:t>
      </w:r>
      <w:r>
        <w:t>—namely</w:t>
      </w:r>
      <w:r w:rsidR="00717924">
        <w:t>,</w:t>
      </w:r>
      <w:r>
        <w:t xml:space="preserve"> the building of new arts and cultural facilities—and travel and tourism includes related performing‐arts spending</w:t>
      </w:r>
      <w:r w:rsidR="004B060A">
        <w:t>.</w:t>
      </w:r>
    </w:p>
  </w:endnote>
  <w:endnote w:id="4">
    <w:p w14:paraId="420DE0AF" w14:textId="597F7323" w:rsidR="000C603A" w:rsidRDefault="000C603A">
      <w:pPr>
        <w:pStyle w:val="EndnoteText"/>
      </w:pPr>
      <w:r>
        <w:rPr>
          <w:rStyle w:val="EndnoteReference"/>
        </w:rPr>
        <w:endnoteRef/>
      </w:r>
      <w:r>
        <w:t xml:space="preserve"> “Real” ACPSA estimates are measured in 2009 chained dollars. For more information, see the BEA’s definition of </w:t>
      </w:r>
      <w:hyperlink r:id="rId1" w:history="1">
        <w:r w:rsidRPr="000C603A">
          <w:rPr>
            <w:rStyle w:val="Hyperlink"/>
          </w:rPr>
          <w:t>“chained dollar estimates.”</w:t>
        </w:r>
      </w:hyperlink>
    </w:p>
  </w:endnote>
  <w:endnote w:id="5">
    <w:p w14:paraId="680E5048" w14:textId="1AF77B63" w:rsidR="001876E3" w:rsidRDefault="001876E3">
      <w:pPr>
        <w:pStyle w:val="EndnoteText"/>
      </w:pPr>
      <w:r>
        <w:rPr>
          <w:rStyle w:val="EndnoteReference"/>
        </w:rPr>
        <w:endnoteRef/>
      </w:r>
      <w:r>
        <w:t xml:space="preserve"> According to the Census Bureau’s Services Annual Survey, revenu</w:t>
      </w:r>
      <w:r w:rsidR="00096579">
        <w:t>e grew by 8 percent for “integrated record production/distribution,” an industry comprising establishments that release, promote, and distribute sound recordings. Revenue reported for music publishers grew 3.9 percent. In addition, non-employment revenue for sound recording increased by 2.7 percent between 2015 and 2016. (Non</w:t>
      </w:r>
      <w:r w:rsidR="00131D51">
        <w:t>-</w:t>
      </w:r>
      <w:r w:rsidR="00096579">
        <w:t>employers are businesses with no paid employees and are subject to federal income tax.)</w:t>
      </w:r>
    </w:p>
  </w:endnote>
  <w:endnote w:id="6">
    <w:p w14:paraId="687BB606" w14:textId="77777777" w:rsidR="002F0955" w:rsidRPr="000421C7" w:rsidRDefault="002F0955" w:rsidP="002F0955">
      <w:pPr>
        <w:pStyle w:val="EndnoteText"/>
      </w:pPr>
      <w:r>
        <w:rPr>
          <w:rStyle w:val="EndnoteReference"/>
        </w:rPr>
        <w:endnoteRef/>
      </w:r>
      <w:r>
        <w:t xml:space="preserve"> The NEA’s Office of Research &amp; Analysis defines the “creative economy” as value added by industries that the U.S. Patent and Trademark Office has identified as copyright-intensive. See </w:t>
      </w:r>
      <w:r w:rsidRPr="000421C7">
        <w:rPr>
          <w:i/>
        </w:rPr>
        <w:t>Intellectual Property and the U.S. Economy: 2016 Update</w:t>
      </w:r>
      <w:r>
        <w:rPr>
          <w:i/>
        </w:rPr>
        <w:t xml:space="preserve">, </w:t>
      </w:r>
      <w:r>
        <w:t>Economics &amp; Statistics Administration and U.S. Patent and Trademark Office.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9836858"/>
      <w:docPartObj>
        <w:docPartGallery w:val="Page Numbers (Bottom of Page)"/>
        <w:docPartUnique/>
      </w:docPartObj>
    </w:sdtPr>
    <w:sdtEndPr>
      <w:rPr>
        <w:noProof/>
      </w:rPr>
    </w:sdtEndPr>
    <w:sdtContent>
      <w:p w14:paraId="24470219" w14:textId="36D8706D" w:rsidR="0053287D" w:rsidRDefault="0053287D">
        <w:pPr>
          <w:pStyle w:val="Footer"/>
          <w:jc w:val="right"/>
        </w:pPr>
        <w:r>
          <w:fldChar w:fldCharType="begin"/>
        </w:r>
        <w:r>
          <w:instrText xml:space="preserve"> PAGE   \* MERGEFORMAT </w:instrText>
        </w:r>
        <w:r>
          <w:fldChar w:fldCharType="separate"/>
        </w:r>
        <w:r w:rsidR="00626A12">
          <w:rPr>
            <w:noProof/>
          </w:rPr>
          <w:t>9</w:t>
        </w:r>
        <w:r>
          <w:rPr>
            <w:noProof/>
          </w:rPr>
          <w:fldChar w:fldCharType="end"/>
        </w:r>
      </w:p>
    </w:sdtContent>
  </w:sdt>
  <w:p w14:paraId="53284BE0" w14:textId="77777777" w:rsidR="0053287D" w:rsidRDefault="005328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54AB66" w14:textId="77777777" w:rsidR="004F49AF" w:rsidRDefault="004F49AF" w:rsidP="001B40A4">
      <w:pPr>
        <w:spacing w:after="0" w:line="240" w:lineRule="auto"/>
      </w:pPr>
      <w:r>
        <w:separator/>
      </w:r>
    </w:p>
  </w:footnote>
  <w:footnote w:type="continuationSeparator" w:id="0">
    <w:p w14:paraId="05DD1D0A" w14:textId="77777777" w:rsidR="004F49AF" w:rsidRDefault="004F49AF" w:rsidP="001B40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85748"/>
    <w:multiLevelType w:val="hybridMultilevel"/>
    <w:tmpl w:val="17CAF39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A7C14"/>
    <w:multiLevelType w:val="hybridMultilevel"/>
    <w:tmpl w:val="BC0E06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F74E12"/>
    <w:multiLevelType w:val="hybridMultilevel"/>
    <w:tmpl w:val="93767920"/>
    <w:lvl w:ilvl="0" w:tplc="502888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C0A2E"/>
    <w:multiLevelType w:val="hybridMultilevel"/>
    <w:tmpl w:val="6CA45750"/>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D4786B"/>
    <w:multiLevelType w:val="hybridMultilevel"/>
    <w:tmpl w:val="38C657A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0E1AC8"/>
    <w:multiLevelType w:val="hybridMultilevel"/>
    <w:tmpl w:val="00F04CCE"/>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74766F"/>
    <w:multiLevelType w:val="hybridMultilevel"/>
    <w:tmpl w:val="E4A07ED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3F6717"/>
    <w:multiLevelType w:val="hybridMultilevel"/>
    <w:tmpl w:val="F1608D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D9F4D53"/>
    <w:multiLevelType w:val="hybridMultilevel"/>
    <w:tmpl w:val="0398244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905D28"/>
    <w:multiLevelType w:val="hybridMultilevel"/>
    <w:tmpl w:val="B2E4478C"/>
    <w:lvl w:ilvl="0" w:tplc="5030C3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F86528"/>
    <w:multiLevelType w:val="hybridMultilevel"/>
    <w:tmpl w:val="E6D4D644"/>
    <w:lvl w:ilvl="0" w:tplc="7FB604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BFE6FDE"/>
    <w:multiLevelType w:val="hybridMultilevel"/>
    <w:tmpl w:val="2350146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A7190B"/>
    <w:multiLevelType w:val="hybridMultilevel"/>
    <w:tmpl w:val="AB4E574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9C37982"/>
    <w:multiLevelType w:val="hybridMultilevel"/>
    <w:tmpl w:val="54BAFC5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
  </w:num>
  <w:num w:numId="3">
    <w:abstractNumId w:val="12"/>
  </w:num>
  <w:num w:numId="4">
    <w:abstractNumId w:val="4"/>
  </w:num>
  <w:num w:numId="5">
    <w:abstractNumId w:val="1"/>
  </w:num>
  <w:num w:numId="6">
    <w:abstractNumId w:val="11"/>
  </w:num>
  <w:num w:numId="7">
    <w:abstractNumId w:val="8"/>
  </w:num>
  <w:num w:numId="8">
    <w:abstractNumId w:val="3"/>
  </w:num>
  <w:num w:numId="9">
    <w:abstractNumId w:val="13"/>
  </w:num>
  <w:num w:numId="10">
    <w:abstractNumId w:val="0"/>
  </w:num>
  <w:num w:numId="11">
    <w:abstractNumId w:val="6"/>
  </w:num>
  <w:num w:numId="12">
    <w:abstractNumId w:val="5"/>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832"/>
    <w:rsid w:val="00000B5A"/>
    <w:rsid w:val="000317D6"/>
    <w:rsid w:val="00031C7C"/>
    <w:rsid w:val="00031D35"/>
    <w:rsid w:val="000421C7"/>
    <w:rsid w:val="000446BB"/>
    <w:rsid w:val="0005617D"/>
    <w:rsid w:val="00061F94"/>
    <w:rsid w:val="00071FC9"/>
    <w:rsid w:val="00096579"/>
    <w:rsid w:val="000A69B5"/>
    <w:rsid w:val="000B25E4"/>
    <w:rsid w:val="000B6184"/>
    <w:rsid w:val="000C13BD"/>
    <w:rsid w:val="000C603A"/>
    <w:rsid w:val="000D1636"/>
    <w:rsid w:val="000D32FB"/>
    <w:rsid w:val="000F36DB"/>
    <w:rsid w:val="0010221C"/>
    <w:rsid w:val="00110535"/>
    <w:rsid w:val="001278EC"/>
    <w:rsid w:val="00131D51"/>
    <w:rsid w:val="00145235"/>
    <w:rsid w:val="00145786"/>
    <w:rsid w:val="00151447"/>
    <w:rsid w:val="00157110"/>
    <w:rsid w:val="00157CE1"/>
    <w:rsid w:val="00176AEF"/>
    <w:rsid w:val="0018671B"/>
    <w:rsid w:val="001876E3"/>
    <w:rsid w:val="001B3B33"/>
    <w:rsid w:val="001B3C5B"/>
    <w:rsid w:val="001B40A4"/>
    <w:rsid w:val="001C45BB"/>
    <w:rsid w:val="001D05F1"/>
    <w:rsid w:val="001E0D9D"/>
    <w:rsid w:val="001F10A2"/>
    <w:rsid w:val="001F50B9"/>
    <w:rsid w:val="00200EC4"/>
    <w:rsid w:val="00203357"/>
    <w:rsid w:val="00203E65"/>
    <w:rsid w:val="002070DD"/>
    <w:rsid w:val="0022663B"/>
    <w:rsid w:val="00235AB2"/>
    <w:rsid w:val="00244FFC"/>
    <w:rsid w:val="002663E5"/>
    <w:rsid w:val="00273AD7"/>
    <w:rsid w:val="002823CC"/>
    <w:rsid w:val="002B29A7"/>
    <w:rsid w:val="002B3D06"/>
    <w:rsid w:val="002B487D"/>
    <w:rsid w:val="002B6084"/>
    <w:rsid w:val="002F0955"/>
    <w:rsid w:val="002F09EE"/>
    <w:rsid w:val="002F3D72"/>
    <w:rsid w:val="003069B0"/>
    <w:rsid w:val="00316F15"/>
    <w:rsid w:val="003200AA"/>
    <w:rsid w:val="00331E83"/>
    <w:rsid w:val="00333CF0"/>
    <w:rsid w:val="00352039"/>
    <w:rsid w:val="003574A7"/>
    <w:rsid w:val="003662FF"/>
    <w:rsid w:val="00375D91"/>
    <w:rsid w:val="00382EA1"/>
    <w:rsid w:val="00393C0B"/>
    <w:rsid w:val="0039587F"/>
    <w:rsid w:val="003B07ED"/>
    <w:rsid w:val="003B338C"/>
    <w:rsid w:val="00403E38"/>
    <w:rsid w:val="00404965"/>
    <w:rsid w:val="00451C06"/>
    <w:rsid w:val="00454609"/>
    <w:rsid w:val="00460AB4"/>
    <w:rsid w:val="00461588"/>
    <w:rsid w:val="00461E62"/>
    <w:rsid w:val="004647E1"/>
    <w:rsid w:val="004766A1"/>
    <w:rsid w:val="004868BE"/>
    <w:rsid w:val="004B01CF"/>
    <w:rsid w:val="004B060A"/>
    <w:rsid w:val="004B52D4"/>
    <w:rsid w:val="004D19D8"/>
    <w:rsid w:val="004D7BC3"/>
    <w:rsid w:val="004E3725"/>
    <w:rsid w:val="004F49AF"/>
    <w:rsid w:val="00500710"/>
    <w:rsid w:val="0050792E"/>
    <w:rsid w:val="0051338F"/>
    <w:rsid w:val="0053287D"/>
    <w:rsid w:val="00543DA7"/>
    <w:rsid w:val="0054696E"/>
    <w:rsid w:val="0055706B"/>
    <w:rsid w:val="005579F2"/>
    <w:rsid w:val="00557E73"/>
    <w:rsid w:val="00570CD6"/>
    <w:rsid w:val="00573E8A"/>
    <w:rsid w:val="005818AF"/>
    <w:rsid w:val="005925EF"/>
    <w:rsid w:val="00594A6C"/>
    <w:rsid w:val="005B4918"/>
    <w:rsid w:val="005B4D0C"/>
    <w:rsid w:val="005C0266"/>
    <w:rsid w:val="005F4BEB"/>
    <w:rsid w:val="00612063"/>
    <w:rsid w:val="00614298"/>
    <w:rsid w:val="00615DBD"/>
    <w:rsid w:val="00620C7C"/>
    <w:rsid w:val="00626A12"/>
    <w:rsid w:val="00645C19"/>
    <w:rsid w:val="006515AD"/>
    <w:rsid w:val="00652BFF"/>
    <w:rsid w:val="0066056C"/>
    <w:rsid w:val="00665BA4"/>
    <w:rsid w:val="00670A54"/>
    <w:rsid w:val="00682827"/>
    <w:rsid w:val="006868E8"/>
    <w:rsid w:val="0068754A"/>
    <w:rsid w:val="006A1726"/>
    <w:rsid w:val="006B073A"/>
    <w:rsid w:val="006B2017"/>
    <w:rsid w:val="006B7298"/>
    <w:rsid w:val="006B7E2F"/>
    <w:rsid w:val="006C04D7"/>
    <w:rsid w:val="006D4338"/>
    <w:rsid w:val="006D4E8E"/>
    <w:rsid w:val="006F7EB4"/>
    <w:rsid w:val="00717924"/>
    <w:rsid w:val="00720194"/>
    <w:rsid w:val="00721AC1"/>
    <w:rsid w:val="0073300E"/>
    <w:rsid w:val="0073471D"/>
    <w:rsid w:val="007433C6"/>
    <w:rsid w:val="00795C28"/>
    <w:rsid w:val="007A1B21"/>
    <w:rsid w:val="007B4B17"/>
    <w:rsid w:val="007C02EC"/>
    <w:rsid w:val="007C4788"/>
    <w:rsid w:val="007C4D57"/>
    <w:rsid w:val="008055C5"/>
    <w:rsid w:val="00820ED0"/>
    <w:rsid w:val="00823757"/>
    <w:rsid w:val="0083061C"/>
    <w:rsid w:val="00853352"/>
    <w:rsid w:val="0085504E"/>
    <w:rsid w:val="00855AAA"/>
    <w:rsid w:val="0087395C"/>
    <w:rsid w:val="00875B8C"/>
    <w:rsid w:val="00885690"/>
    <w:rsid w:val="008B05C0"/>
    <w:rsid w:val="008B494B"/>
    <w:rsid w:val="008C78EF"/>
    <w:rsid w:val="008D196F"/>
    <w:rsid w:val="008D55BE"/>
    <w:rsid w:val="008E4E85"/>
    <w:rsid w:val="00921F7B"/>
    <w:rsid w:val="009328CD"/>
    <w:rsid w:val="0093744A"/>
    <w:rsid w:val="009414B8"/>
    <w:rsid w:val="00963F4F"/>
    <w:rsid w:val="00970EAA"/>
    <w:rsid w:val="009767FA"/>
    <w:rsid w:val="00976FDD"/>
    <w:rsid w:val="009A2D9C"/>
    <w:rsid w:val="009A7567"/>
    <w:rsid w:val="009C43AB"/>
    <w:rsid w:val="009C7696"/>
    <w:rsid w:val="009D2751"/>
    <w:rsid w:val="00A0368F"/>
    <w:rsid w:val="00A1293A"/>
    <w:rsid w:val="00A1616A"/>
    <w:rsid w:val="00A36B4A"/>
    <w:rsid w:val="00A427DD"/>
    <w:rsid w:val="00A50613"/>
    <w:rsid w:val="00A603DD"/>
    <w:rsid w:val="00A63A1C"/>
    <w:rsid w:val="00A658A0"/>
    <w:rsid w:val="00A804E6"/>
    <w:rsid w:val="00A82D0A"/>
    <w:rsid w:val="00A93AF8"/>
    <w:rsid w:val="00AA50E7"/>
    <w:rsid w:val="00AA73BD"/>
    <w:rsid w:val="00AB01AE"/>
    <w:rsid w:val="00AB4CC6"/>
    <w:rsid w:val="00AB727F"/>
    <w:rsid w:val="00AB78FD"/>
    <w:rsid w:val="00AC22C0"/>
    <w:rsid w:val="00AD20C1"/>
    <w:rsid w:val="00B45604"/>
    <w:rsid w:val="00B51563"/>
    <w:rsid w:val="00B613E4"/>
    <w:rsid w:val="00B6149D"/>
    <w:rsid w:val="00B73790"/>
    <w:rsid w:val="00B9095B"/>
    <w:rsid w:val="00BA295F"/>
    <w:rsid w:val="00BA7AD0"/>
    <w:rsid w:val="00BB661A"/>
    <w:rsid w:val="00BB78B0"/>
    <w:rsid w:val="00BD2A8F"/>
    <w:rsid w:val="00BD4D07"/>
    <w:rsid w:val="00BF4C9C"/>
    <w:rsid w:val="00BF50A7"/>
    <w:rsid w:val="00C23B6B"/>
    <w:rsid w:val="00C365AC"/>
    <w:rsid w:val="00C36DAC"/>
    <w:rsid w:val="00C37832"/>
    <w:rsid w:val="00C4072F"/>
    <w:rsid w:val="00C427D2"/>
    <w:rsid w:val="00C46A2D"/>
    <w:rsid w:val="00C707DD"/>
    <w:rsid w:val="00C84BA8"/>
    <w:rsid w:val="00C94A94"/>
    <w:rsid w:val="00C97B14"/>
    <w:rsid w:val="00CB4079"/>
    <w:rsid w:val="00CC6B5E"/>
    <w:rsid w:val="00CD456E"/>
    <w:rsid w:val="00CD7D10"/>
    <w:rsid w:val="00CD7DE6"/>
    <w:rsid w:val="00CE7861"/>
    <w:rsid w:val="00D03B71"/>
    <w:rsid w:val="00D07C8E"/>
    <w:rsid w:val="00D108B7"/>
    <w:rsid w:val="00D133EF"/>
    <w:rsid w:val="00D32D38"/>
    <w:rsid w:val="00D41B59"/>
    <w:rsid w:val="00D47257"/>
    <w:rsid w:val="00D70C44"/>
    <w:rsid w:val="00D73B7C"/>
    <w:rsid w:val="00D77DA9"/>
    <w:rsid w:val="00D872B6"/>
    <w:rsid w:val="00D911C8"/>
    <w:rsid w:val="00D934CE"/>
    <w:rsid w:val="00DA693E"/>
    <w:rsid w:val="00DB0094"/>
    <w:rsid w:val="00DC00DA"/>
    <w:rsid w:val="00DC0E3B"/>
    <w:rsid w:val="00DC45A4"/>
    <w:rsid w:val="00DF3BD7"/>
    <w:rsid w:val="00DF7580"/>
    <w:rsid w:val="00E05F35"/>
    <w:rsid w:val="00E249D7"/>
    <w:rsid w:val="00E33710"/>
    <w:rsid w:val="00E347B7"/>
    <w:rsid w:val="00E35B38"/>
    <w:rsid w:val="00E37F28"/>
    <w:rsid w:val="00E66074"/>
    <w:rsid w:val="00E706E2"/>
    <w:rsid w:val="00E766E9"/>
    <w:rsid w:val="00E90BE3"/>
    <w:rsid w:val="00E95ECD"/>
    <w:rsid w:val="00EA096C"/>
    <w:rsid w:val="00EA45C7"/>
    <w:rsid w:val="00EC1550"/>
    <w:rsid w:val="00EC312E"/>
    <w:rsid w:val="00EC7D40"/>
    <w:rsid w:val="00ED381D"/>
    <w:rsid w:val="00EF102D"/>
    <w:rsid w:val="00F0524B"/>
    <w:rsid w:val="00F2681E"/>
    <w:rsid w:val="00F32596"/>
    <w:rsid w:val="00F36C57"/>
    <w:rsid w:val="00F76611"/>
    <w:rsid w:val="00F76EC7"/>
    <w:rsid w:val="00F9530B"/>
    <w:rsid w:val="00FA7275"/>
    <w:rsid w:val="00FB175C"/>
    <w:rsid w:val="00FB2217"/>
    <w:rsid w:val="00FB388D"/>
    <w:rsid w:val="00FD1DD5"/>
    <w:rsid w:val="00FD2374"/>
    <w:rsid w:val="00FD320C"/>
    <w:rsid w:val="00FF242E"/>
    <w:rsid w:val="00FF4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321AD"/>
  <w15:chartTrackingRefBased/>
  <w15:docId w15:val="{D96E8575-7798-4D99-8DED-0069FAF19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D0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7832"/>
    <w:pPr>
      <w:ind w:left="720"/>
      <w:contextualSpacing/>
    </w:pPr>
  </w:style>
  <w:style w:type="paragraph" w:styleId="EndnoteText">
    <w:name w:val="endnote text"/>
    <w:basedOn w:val="Normal"/>
    <w:link w:val="EndnoteTextChar"/>
    <w:uiPriority w:val="99"/>
    <w:semiHidden/>
    <w:unhideWhenUsed/>
    <w:rsid w:val="001B40A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B40A4"/>
    <w:rPr>
      <w:sz w:val="20"/>
      <w:szCs w:val="20"/>
    </w:rPr>
  </w:style>
  <w:style w:type="character" w:styleId="EndnoteReference">
    <w:name w:val="endnote reference"/>
    <w:basedOn w:val="DefaultParagraphFont"/>
    <w:uiPriority w:val="99"/>
    <w:semiHidden/>
    <w:unhideWhenUsed/>
    <w:rsid w:val="001B40A4"/>
    <w:rPr>
      <w:vertAlign w:val="superscript"/>
    </w:rPr>
  </w:style>
  <w:style w:type="paragraph" w:styleId="Header">
    <w:name w:val="header"/>
    <w:basedOn w:val="Normal"/>
    <w:link w:val="HeaderChar"/>
    <w:uiPriority w:val="99"/>
    <w:unhideWhenUsed/>
    <w:rsid w:val="005328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87D"/>
  </w:style>
  <w:style w:type="paragraph" w:styleId="Footer">
    <w:name w:val="footer"/>
    <w:basedOn w:val="Normal"/>
    <w:link w:val="FooterChar"/>
    <w:uiPriority w:val="99"/>
    <w:unhideWhenUsed/>
    <w:rsid w:val="005328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287D"/>
  </w:style>
  <w:style w:type="character" w:styleId="Hyperlink">
    <w:name w:val="Hyperlink"/>
    <w:basedOn w:val="DefaultParagraphFont"/>
    <w:uiPriority w:val="99"/>
    <w:unhideWhenUsed/>
    <w:rsid w:val="000C603A"/>
    <w:rPr>
      <w:color w:val="0563C1" w:themeColor="hyperlink"/>
      <w:u w:val="single"/>
    </w:rPr>
  </w:style>
  <w:style w:type="paragraph" w:styleId="NormalWeb">
    <w:name w:val="Normal (Web)"/>
    <w:basedOn w:val="Normal"/>
    <w:uiPriority w:val="99"/>
    <w:semiHidden/>
    <w:unhideWhenUsed/>
    <w:rsid w:val="0066056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061F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F94"/>
    <w:rPr>
      <w:rFonts w:ascii="Segoe UI" w:hAnsi="Segoe UI" w:cs="Segoe UI"/>
      <w:sz w:val="18"/>
      <w:szCs w:val="18"/>
    </w:rPr>
  </w:style>
  <w:style w:type="character" w:styleId="CommentReference">
    <w:name w:val="annotation reference"/>
    <w:basedOn w:val="DefaultParagraphFont"/>
    <w:uiPriority w:val="99"/>
    <w:semiHidden/>
    <w:unhideWhenUsed/>
    <w:rsid w:val="00BA7AD0"/>
    <w:rPr>
      <w:sz w:val="16"/>
      <w:szCs w:val="16"/>
    </w:rPr>
  </w:style>
  <w:style w:type="paragraph" w:styleId="CommentText">
    <w:name w:val="annotation text"/>
    <w:basedOn w:val="Normal"/>
    <w:link w:val="CommentTextChar"/>
    <w:uiPriority w:val="99"/>
    <w:semiHidden/>
    <w:unhideWhenUsed/>
    <w:rsid w:val="00BA7AD0"/>
    <w:pPr>
      <w:spacing w:line="240" w:lineRule="auto"/>
    </w:pPr>
    <w:rPr>
      <w:sz w:val="20"/>
      <w:szCs w:val="20"/>
    </w:rPr>
  </w:style>
  <w:style w:type="character" w:customStyle="1" w:styleId="CommentTextChar">
    <w:name w:val="Comment Text Char"/>
    <w:basedOn w:val="DefaultParagraphFont"/>
    <w:link w:val="CommentText"/>
    <w:uiPriority w:val="99"/>
    <w:semiHidden/>
    <w:rsid w:val="00BA7AD0"/>
    <w:rPr>
      <w:sz w:val="20"/>
      <w:szCs w:val="20"/>
    </w:rPr>
  </w:style>
  <w:style w:type="paragraph" w:styleId="CommentSubject">
    <w:name w:val="annotation subject"/>
    <w:basedOn w:val="CommentText"/>
    <w:next w:val="CommentText"/>
    <w:link w:val="CommentSubjectChar"/>
    <w:uiPriority w:val="99"/>
    <w:semiHidden/>
    <w:unhideWhenUsed/>
    <w:rsid w:val="00BA7AD0"/>
    <w:rPr>
      <w:b/>
      <w:bCs/>
    </w:rPr>
  </w:style>
  <w:style w:type="character" w:customStyle="1" w:styleId="CommentSubjectChar">
    <w:name w:val="Comment Subject Char"/>
    <w:basedOn w:val="CommentTextChar"/>
    <w:link w:val="CommentSubject"/>
    <w:uiPriority w:val="99"/>
    <w:semiHidden/>
    <w:rsid w:val="00BA7AD0"/>
    <w:rPr>
      <w:b/>
      <w:bCs/>
      <w:sz w:val="20"/>
      <w:szCs w:val="20"/>
    </w:rPr>
  </w:style>
  <w:style w:type="character" w:styleId="FollowedHyperlink">
    <w:name w:val="FollowedHyperlink"/>
    <w:basedOn w:val="DefaultParagraphFont"/>
    <w:uiPriority w:val="99"/>
    <w:semiHidden/>
    <w:unhideWhenUsed/>
    <w:rsid w:val="007C4D57"/>
    <w:rPr>
      <w:color w:val="954F72" w:themeColor="followedHyperlink"/>
      <w:u w:val="single"/>
    </w:rPr>
  </w:style>
  <w:style w:type="paragraph" w:styleId="PlainText">
    <w:name w:val="Plain Text"/>
    <w:basedOn w:val="Normal"/>
    <w:link w:val="PlainTextChar"/>
    <w:uiPriority w:val="99"/>
    <w:semiHidden/>
    <w:unhideWhenUsed/>
    <w:rsid w:val="006B2017"/>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B2017"/>
    <w:rPr>
      <w:rFonts w:ascii="Calibri" w:hAnsi="Calibri"/>
      <w:szCs w:val="21"/>
    </w:rPr>
  </w:style>
  <w:style w:type="character" w:customStyle="1" w:styleId="Heading1Char">
    <w:name w:val="Heading 1 Char"/>
    <w:basedOn w:val="DefaultParagraphFont"/>
    <w:link w:val="Heading1"/>
    <w:uiPriority w:val="9"/>
    <w:rsid w:val="005B4D0C"/>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002725">
      <w:bodyDiv w:val="1"/>
      <w:marLeft w:val="0"/>
      <w:marRight w:val="0"/>
      <w:marTop w:val="0"/>
      <w:marBottom w:val="0"/>
      <w:divBdr>
        <w:top w:val="none" w:sz="0" w:space="0" w:color="auto"/>
        <w:left w:val="none" w:sz="0" w:space="0" w:color="auto"/>
        <w:bottom w:val="none" w:sz="0" w:space="0" w:color="auto"/>
        <w:right w:val="none" w:sz="0" w:space="0" w:color="auto"/>
      </w:divBdr>
    </w:div>
    <w:div w:id="425804029">
      <w:bodyDiv w:val="1"/>
      <w:marLeft w:val="0"/>
      <w:marRight w:val="0"/>
      <w:marTop w:val="0"/>
      <w:marBottom w:val="0"/>
      <w:divBdr>
        <w:top w:val="none" w:sz="0" w:space="0" w:color="auto"/>
        <w:left w:val="none" w:sz="0" w:space="0" w:color="auto"/>
        <w:bottom w:val="none" w:sz="0" w:space="0" w:color="auto"/>
        <w:right w:val="none" w:sz="0" w:space="0" w:color="auto"/>
      </w:divBdr>
    </w:div>
    <w:div w:id="1355764136">
      <w:bodyDiv w:val="1"/>
      <w:marLeft w:val="0"/>
      <w:marRight w:val="0"/>
      <w:marTop w:val="0"/>
      <w:marBottom w:val="0"/>
      <w:divBdr>
        <w:top w:val="none" w:sz="0" w:space="0" w:color="auto"/>
        <w:left w:val="none" w:sz="0" w:space="0" w:color="auto"/>
        <w:bottom w:val="none" w:sz="0" w:space="0" w:color="auto"/>
        <w:right w:val="none" w:sz="0" w:space="0" w:color="auto"/>
      </w:divBdr>
    </w:div>
    <w:div w:id="1426801827">
      <w:bodyDiv w:val="1"/>
      <w:marLeft w:val="0"/>
      <w:marRight w:val="0"/>
      <w:marTop w:val="0"/>
      <w:marBottom w:val="0"/>
      <w:divBdr>
        <w:top w:val="none" w:sz="0" w:space="0" w:color="auto"/>
        <w:left w:val="none" w:sz="0" w:space="0" w:color="auto"/>
        <w:bottom w:val="none" w:sz="0" w:space="0" w:color="auto"/>
        <w:right w:val="none" w:sz="0" w:space="0" w:color="auto"/>
      </w:divBdr>
    </w:div>
    <w:div w:id="1561016871">
      <w:bodyDiv w:val="1"/>
      <w:marLeft w:val="0"/>
      <w:marRight w:val="0"/>
      <w:marTop w:val="0"/>
      <w:marBottom w:val="0"/>
      <w:divBdr>
        <w:top w:val="none" w:sz="0" w:space="0" w:color="auto"/>
        <w:left w:val="none" w:sz="0" w:space="0" w:color="auto"/>
        <w:bottom w:val="none" w:sz="0" w:space="0" w:color="auto"/>
        <w:right w:val="none" w:sz="0" w:space="0" w:color="auto"/>
      </w:divBdr>
    </w:div>
    <w:div w:id="1686057997">
      <w:bodyDiv w:val="1"/>
      <w:marLeft w:val="0"/>
      <w:marRight w:val="0"/>
      <w:marTop w:val="0"/>
      <w:marBottom w:val="0"/>
      <w:divBdr>
        <w:top w:val="none" w:sz="0" w:space="0" w:color="auto"/>
        <w:left w:val="none" w:sz="0" w:space="0" w:color="auto"/>
        <w:bottom w:val="none" w:sz="0" w:space="0" w:color="auto"/>
        <w:right w:val="none" w:sz="0" w:space="0" w:color="auto"/>
      </w:divBdr>
    </w:div>
    <w:div w:id="199140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png"/><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chart" Target="charts/chart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chart" Target="charts/chart1.xm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4.emf"/><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1" Type="http://schemas.openxmlformats.org/officeDocument/2006/relationships/hyperlink" Target="https://www.bea.gov/national/pdf/glossary.pdf"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Value</a:t>
            </a:r>
            <a:r>
              <a:rPr lang="en-US" b="1" baseline="0">
                <a:solidFill>
                  <a:schemeClr val="tx1"/>
                </a:solidFill>
              </a:rPr>
              <a:t> of school-based arts education: 2012-2016</a:t>
            </a:r>
          </a:p>
          <a:p>
            <a:pPr>
              <a:defRPr b="1">
                <a:solidFill>
                  <a:schemeClr val="tx1"/>
                </a:solidFill>
              </a:defRPr>
            </a:pPr>
            <a:r>
              <a:rPr lang="en-US" b="0" baseline="0">
                <a:solidFill>
                  <a:schemeClr val="tx1"/>
                </a:solidFill>
              </a:rPr>
              <a:t>(Adjusted for inflation)</a:t>
            </a:r>
            <a:endParaRPr lang="en-US" b="0">
              <a:solidFill>
                <a:schemeClr val="tx1"/>
              </a:solidFill>
            </a:endParaRPr>
          </a:p>
        </c:rich>
      </c:tx>
      <c:layout/>
      <c:overlay val="1"/>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5370690968832976"/>
          <c:y val="0.14140380806678701"/>
          <c:w val="0.82147639672156292"/>
          <c:h val="0.6760260324602283"/>
        </c:manualLayout>
      </c:layout>
      <c:lineChart>
        <c:grouping val="standard"/>
        <c:varyColors val="0"/>
        <c:ser>
          <c:idx val="0"/>
          <c:order val="0"/>
          <c:spPr>
            <a:ln w="34925" cap="rnd">
              <a:solidFill>
                <a:srgbClr val="3092A6"/>
              </a:solidFill>
              <a:round/>
            </a:ln>
            <a:effectLst/>
          </c:spPr>
          <c:marker>
            <c:symbol val="circle"/>
            <c:size val="9"/>
            <c:spPr>
              <a:solidFill>
                <a:srgbClr val="3092A6"/>
              </a:solidFill>
              <a:ln w="9525">
                <a:solidFill>
                  <a:schemeClr val="bg1"/>
                </a:solidFill>
              </a:ln>
              <a:effectLst/>
            </c:spPr>
          </c:marker>
          <c:cat>
            <c:numRef>
              <c:f>RealEducation!$A$21:$A$25</c:f>
              <c:numCache>
                <c:formatCode>General</c:formatCode>
                <c:ptCount val="5"/>
                <c:pt idx="0">
                  <c:v>2012</c:v>
                </c:pt>
                <c:pt idx="1">
                  <c:v>2013</c:v>
                </c:pt>
                <c:pt idx="2">
                  <c:v>2014</c:v>
                </c:pt>
                <c:pt idx="3">
                  <c:v>2015</c:v>
                </c:pt>
                <c:pt idx="4">
                  <c:v>2016</c:v>
                </c:pt>
              </c:numCache>
            </c:numRef>
          </c:cat>
          <c:val>
            <c:numRef>
              <c:f>RealEducation!$B$21:$B$25</c:f>
              <c:numCache>
                <c:formatCode>"$"#,##0</c:formatCode>
                <c:ptCount val="5"/>
                <c:pt idx="0">
                  <c:v>89789</c:v>
                </c:pt>
                <c:pt idx="1">
                  <c:v>88231</c:v>
                </c:pt>
                <c:pt idx="2">
                  <c:v>87943</c:v>
                </c:pt>
                <c:pt idx="3">
                  <c:v>87594</c:v>
                </c:pt>
                <c:pt idx="4">
                  <c:v>87707</c:v>
                </c:pt>
              </c:numCache>
            </c:numRef>
          </c:val>
          <c:smooth val="0"/>
          <c:extLst>
            <c:ext xmlns:c16="http://schemas.microsoft.com/office/drawing/2014/chart" uri="{C3380CC4-5D6E-409C-BE32-E72D297353CC}">
              <c16:uniqueId val="{00000000-E168-425B-B9A4-50ECDC55DF47}"/>
            </c:ext>
          </c:extLst>
        </c:ser>
        <c:dLbls>
          <c:showLegendKey val="0"/>
          <c:showVal val="0"/>
          <c:showCatName val="0"/>
          <c:showSerName val="0"/>
          <c:showPercent val="0"/>
          <c:showBubbleSize val="0"/>
        </c:dLbls>
        <c:marker val="1"/>
        <c:smooth val="0"/>
        <c:axId val="292461680"/>
        <c:axId val="292460504"/>
      </c:lineChart>
      <c:catAx>
        <c:axId val="2924616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92460504"/>
        <c:crosses val="autoZero"/>
        <c:auto val="1"/>
        <c:lblAlgn val="ctr"/>
        <c:lblOffset val="100"/>
        <c:noMultiLvlLbl val="0"/>
      </c:catAx>
      <c:valAx>
        <c:axId val="292460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r>
                  <a:rPr lang="en-US" b="1"/>
                  <a:t>(Millions)</a:t>
                </a:r>
              </a:p>
            </c:rich>
          </c:tx>
          <c:layout>
            <c:manualLayout>
              <c:xMode val="edge"/>
              <c:yMode val="edge"/>
              <c:x val="2.2922724171210437E-2"/>
              <c:y val="0.45370642140522582"/>
            </c:manualLayout>
          </c:layout>
          <c:overlay val="0"/>
          <c:spPr>
            <a:noFill/>
            <a:ln>
              <a:noFill/>
            </a:ln>
            <a:effectLst/>
          </c:spPr>
          <c:txPr>
            <a:bodyPr rot="-54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29246168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en-US" b="1"/>
              <a:t>Value</a:t>
            </a:r>
            <a:r>
              <a:rPr lang="en-US" b="1" baseline="0"/>
              <a:t> added to U.S. GDP by sector: 2016</a:t>
            </a:r>
          </a:p>
          <a:p>
            <a:pPr>
              <a:defRPr b="1"/>
            </a:pPr>
            <a:r>
              <a:rPr lang="en-US" b="0" baseline="0"/>
              <a:t>(Billions)</a:t>
            </a:r>
            <a:endParaRPr lang="en-US" b="0"/>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24590994210830031"/>
          <c:y val="0.11565365025466894"/>
          <c:w val="0.73528296197017928"/>
          <c:h val="0.75305036785512169"/>
        </c:manualLayout>
      </c:layout>
      <c:barChart>
        <c:barDir val="bar"/>
        <c:grouping val="clustered"/>
        <c:varyColors val="0"/>
        <c:ser>
          <c:idx val="0"/>
          <c:order val="0"/>
          <c:spPr>
            <a:solidFill>
              <a:srgbClr val="B8DED5"/>
            </a:solidFill>
            <a:ln>
              <a:noFill/>
            </a:ln>
            <a:effectLst/>
          </c:spPr>
          <c:invertIfNegative val="0"/>
          <c:dPt>
            <c:idx val="7"/>
            <c:invertIfNegative val="0"/>
            <c:bubble3D val="0"/>
            <c:spPr>
              <a:solidFill>
                <a:srgbClr val="3092A6"/>
              </a:solidFill>
              <a:ln>
                <a:noFill/>
              </a:ln>
              <a:effectLst/>
            </c:spPr>
            <c:extLst>
              <c:ext xmlns:c16="http://schemas.microsoft.com/office/drawing/2014/chart" uri="{C3380CC4-5D6E-409C-BE32-E72D297353CC}">
                <c16:uniqueId val="{00000001-1707-42B8-92B4-00A4000357B3}"/>
              </c:ext>
            </c:extLst>
          </c:dPt>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OtherSectors!$A$3:$A$12</c:f>
              <c:strCache>
                <c:ptCount val="10"/>
                <c:pt idx="0">
                  <c:v>Agriculture, forestry, fishing, and hunting</c:v>
                </c:pt>
                <c:pt idx="1">
                  <c:v>Mining and extraction</c:v>
                </c:pt>
                <c:pt idx="2">
                  <c:v>Utilities</c:v>
                </c:pt>
                <c:pt idx="3">
                  <c:v>Outdoor recreation</c:v>
                </c:pt>
                <c:pt idx="4">
                  <c:v>Travel and tourism</c:v>
                </c:pt>
                <c:pt idx="5">
                  <c:v>Transportation and warehousing</c:v>
                </c:pt>
                <c:pt idx="6">
                  <c:v>Construction</c:v>
                </c:pt>
                <c:pt idx="7">
                  <c:v>Arts and culture</c:v>
                </c:pt>
                <c:pt idx="8">
                  <c:v>Retail trade</c:v>
                </c:pt>
                <c:pt idx="9">
                  <c:v>Healthcare and social assistance</c:v>
                </c:pt>
              </c:strCache>
            </c:strRef>
          </c:cat>
          <c:val>
            <c:numRef>
              <c:f>OtherSectors!$B$3:$B$12</c:f>
              <c:numCache>
                <c:formatCode>"$"#,##0.0</c:formatCode>
                <c:ptCount val="10"/>
                <c:pt idx="0">
                  <c:v>164.9</c:v>
                </c:pt>
                <c:pt idx="1">
                  <c:v>216.2</c:v>
                </c:pt>
                <c:pt idx="2">
                  <c:v>302.7</c:v>
                </c:pt>
                <c:pt idx="3">
                  <c:v>412</c:v>
                </c:pt>
                <c:pt idx="4">
                  <c:v>516.9</c:v>
                </c:pt>
                <c:pt idx="5">
                  <c:v>577.4</c:v>
                </c:pt>
                <c:pt idx="6">
                  <c:v>745.5</c:v>
                </c:pt>
                <c:pt idx="7">
                  <c:v>804.2</c:v>
                </c:pt>
                <c:pt idx="8">
                  <c:v>1052</c:v>
                </c:pt>
                <c:pt idx="9">
                  <c:v>1395.3</c:v>
                </c:pt>
              </c:numCache>
            </c:numRef>
          </c:val>
          <c:extLst>
            <c:ext xmlns:c16="http://schemas.microsoft.com/office/drawing/2014/chart" uri="{C3380CC4-5D6E-409C-BE32-E72D297353CC}">
              <c16:uniqueId val="{00000002-1707-42B8-92B4-00A4000357B3}"/>
            </c:ext>
          </c:extLst>
        </c:ser>
        <c:dLbls>
          <c:dLblPos val="outEnd"/>
          <c:showLegendKey val="0"/>
          <c:showVal val="1"/>
          <c:showCatName val="0"/>
          <c:showSerName val="0"/>
          <c:showPercent val="0"/>
          <c:showBubbleSize val="0"/>
        </c:dLbls>
        <c:gapWidth val="90"/>
        <c:axId val="292463640"/>
        <c:axId val="292462072"/>
      </c:barChart>
      <c:catAx>
        <c:axId val="292463640"/>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1" i="0" u="none" strike="noStrike" kern="1200" baseline="0">
                <a:solidFill>
                  <a:schemeClr val="tx1">
                    <a:lumMod val="65000"/>
                    <a:lumOff val="35000"/>
                  </a:schemeClr>
                </a:solidFill>
                <a:latin typeface="+mn-lt"/>
                <a:ea typeface="+mn-ea"/>
                <a:cs typeface="+mn-cs"/>
              </a:defRPr>
            </a:pPr>
            <a:endParaRPr lang="en-US"/>
          </a:p>
        </c:txPr>
        <c:crossAx val="292462072"/>
        <c:crosses val="autoZero"/>
        <c:auto val="1"/>
        <c:lblAlgn val="ctr"/>
        <c:lblOffset val="100"/>
        <c:noMultiLvlLbl val="0"/>
      </c:catAx>
      <c:valAx>
        <c:axId val="292462072"/>
        <c:scaling>
          <c:orientation val="minMax"/>
        </c:scaling>
        <c:delete val="1"/>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Data</a:t>
                </a:r>
                <a:r>
                  <a:rPr lang="en-US" baseline="0">
                    <a:solidFill>
                      <a:schemeClr val="tx1"/>
                    </a:solidFill>
                  </a:rPr>
                  <a:t> source: Gross Domestic Product by Industry, U.S. Bureau of Economic Analysis</a:t>
                </a:r>
                <a:endParaRPr lang="en-US">
                  <a:solidFill>
                    <a:schemeClr val="tx1"/>
                  </a:solidFill>
                </a:endParaRPr>
              </a:p>
            </c:rich>
          </c:tx>
          <c:layout>
            <c:manualLayout>
              <c:xMode val="edge"/>
              <c:yMode val="edge"/>
              <c:x val="0.10438822806723626"/>
              <c:y val="0.90945104697226942"/>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quot;$&quot;#,##0.0" sourceLinked="1"/>
        <c:majorTickMark val="none"/>
        <c:minorTickMark val="none"/>
        <c:tickLblPos val="nextTo"/>
        <c:crossAx val="29246364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Real</a:t>
            </a:r>
            <a:r>
              <a:rPr lang="en-US" b="1" baseline="0">
                <a:solidFill>
                  <a:schemeClr val="tx1"/>
                </a:solidFill>
              </a:rPr>
              <a:t> value added by arts and culture: 1998-2016</a:t>
            </a:r>
            <a:endParaRPr lang="en-US" b="1">
              <a:solidFill>
                <a:schemeClr val="tx1"/>
              </a:solidFill>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7750999212723773"/>
          <c:y val="0.1091828793774319"/>
          <c:w val="0.79777778092256835"/>
          <c:h val="0.74503691902325442"/>
        </c:manualLayout>
      </c:layout>
      <c:lineChart>
        <c:grouping val="standard"/>
        <c:varyColors val="0"/>
        <c:ser>
          <c:idx val="0"/>
          <c:order val="0"/>
          <c:spPr>
            <a:ln w="34925" cap="rnd">
              <a:solidFill>
                <a:srgbClr val="3092A6"/>
              </a:solidFill>
              <a:round/>
            </a:ln>
            <a:effectLst/>
          </c:spPr>
          <c:marker>
            <c:symbol val="none"/>
          </c:marker>
          <c:trendline>
            <c:spPr>
              <a:ln w="19050" cap="rnd">
                <a:solidFill>
                  <a:schemeClr val="accent1"/>
                </a:solidFill>
                <a:prstDash val="sysDot"/>
              </a:ln>
              <a:effectLst/>
            </c:spPr>
            <c:trendlineType val="linear"/>
            <c:dispRSqr val="0"/>
            <c:dispEq val="0"/>
          </c:trendline>
          <c:cat>
            <c:numRef>
              <c:f>Sheet2!$A$7:$A$25</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Sheet2!$C$7:$C$25</c:f>
              <c:numCache>
                <c:formatCode>"$"#,##0</c:formatCode>
                <c:ptCount val="19"/>
                <c:pt idx="0">
                  <c:v>507893.65966113273</c:v>
                </c:pt>
                <c:pt idx="1">
                  <c:v>551141.3739477722</c:v>
                </c:pt>
                <c:pt idx="2">
                  <c:v>552743.3809750597</c:v>
                </c:pt>
                <c:pt idx="3">
                  <c:v>560751.62890259398</c:v>
                </c:pt>
                <c:pt idx="4">
                  <c:v>594015.29146548605</c:v>
                </c:pt>
                <c:pt idx="5">
                  <c:v>596410.59901556827</c:v>
                </c:pt>
                <c:pt idx="6">
                  <c:v>620439.95855647326</c:v>
                </c:pt>
                <c:pt idx="7">
                  <c:v>608759.60844451608</c:v>
                </c:pt>
                <c:pt idx="8">
                  <c:v>613332.03031220613</c:v>
                </c:pt>
                <c:pt idx="9">
                  <c:v>640719.44154233811</c:v>
                </c:pt>
                <c:pt idx="10">
                  <c:v>651432.73831989861</c:v>
                </c:pt>
                <c:pt idx="11">
                  <c:v>617486.80660077999</c:v>
                </c:pt>
                <c:pt idx="12">
                  <c:v>650431.79610196745</c:v>
                </c:pt>
                <c:pt idx="13">
                  <c:v>649039.65053694509</c:v>
                </c:pt>
                <c:pt idx="14">
                  <c:v>657402</c:v>
                </c:pt>
                <c:pt idx="15">
                  <c:v>674412</c:v>
                </c:pt>
                <c:pt idx="16">
                  <c:v>676547.40686908306</c:v>
                </c:pt>
                <c:pt idx="17">
                  <c:v>713109.26846989896</c:v>
                </c:pt>
                <c:pt idx="18">
                  <c:v>733940.0650048618</c:v>
                </c:pt>
              </c:numCache>
            </c:numRef>
          </c:val>
          <c:smooth val="0"/>
          <c:extLst>
            <c:ext xmlns:c16="http://schemas.microsoft.com/office/drawing/2014/chart" uri="{C3380CC4-5D6E-409C-BE32-E72D297353CC}">
              <c16:uniqueId val="{00000000-4003-4A9B-841F-F3E8B4A6D8D2}"/>
            </c:ext>
          </c:extLst>
        </c:ser>
        <c:dLbls>
          <c:showLegendKey val="0"/>
          <c:showVal val="0"/>
          <c:showCatName val="0"/>
          <c:showSerName val="0"/>
          <c:showPercent val="0"/>
          <c:showBubbleSize val="0"/>
        </c:dLbls>
        <c:smooth val="0"/>
        <c:axId val="292459720"/>
        <c:axId val="292464032"/>
      </c:lineChart>
      <c:catAx>
        <c:axId val="292459720"/>
        <c:scaling>
          <c:orientation val="minMax"/>
        </c:scaling>
        <c:delete val="0"/>
        <c:axPos val="b"/>
        <c:title>
          <c:tx>
            <c:rich>
              <a:bodyPr rot="0" spcFirstLastPara="1" vertOverflow="ellipsis" vert="horz" wrap="square" anchor="ctr" anchorCtr="1"/>
              <a:lstStyle/>
              <a:p>
                <a:pPr algn="l">
                  <a:defRPr sz="1000" b="0" i="0" u="none" strike="noStrike" kern="1200" baseline="0">
                    <a:solidFill>
                      <a:schemeClr val="tx1"/>
                    </a:solidFill>
                    <a:latin typeface="+mn-lt"/>
                    <a:ea typeface="+mn-ea"/>
                    <a:cs typeface="+mn-cs"/>
                  </a:defRPr>
                </a:pPr>
                <a:r>
                  <a:rPr lang="en-US">
                    <a:solidFill>
                      <a:schemeClr val="tx1"/>
                    </a:solidFill>
                  </a:rPr>
                  <a:t>Data</a:t>
                </a:r>
                <a:r>
                  <a:rPr lang="en-US" baseline="0">
                    <a:solidFill>
                      <a:schemeClr val="tx1"/>
                    </a:solidFill>
                  </a:rPr>
                  <a:t> source: Arts and Cultural Production Satellite Account (ACPSA), U.S. Bureau of Economic Analysis and National Endowment for the Arts</a:t>
                </a:r>
                <a:endParaRPr lang="en-US">
                  <a:solidFill>
                    <a:schemeClr val="tx1"/>
                  </a:solidFill>
                </a:endParaRPr>
              </a:p>
            </c:rich>
          </c:tx>
          <c:layout>
            <c:manualLayout>
              <c:xMode val="edge"/>
              <c:yMode val="edge"/>
              <c:x val="6.5584803581012707E-2"/>
              <c:y val="0.9066147859922179"/>
            </c:manualLayout>
          </c:layout>
          <c:overlay val="0"/>
          <c:spPr>
            <a:noFill/>
            <a:ln>
              <a:noFill/>
            </a:ln>
            <a:effectLst/>
          </c:spPr>
          <c:txPr>
            <a:bodyPr rot="0" spcFirstLastPara="1" vertOverflow="ellipsis" vert="horz" wrap="square" anchor="ctr" anchorCtr="1"/>
            <a:lstStyle/>
            <a:p>
              <a:pPr algn="l">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mn-lt"/>
                <a:ea typeface="+mn-ea"/>
                <a:cs typeface="+mn-cs"/>
              </a:defRPr>
            </a:pPr>
            <a:endParaRPr lang="en-US"/>
          </a:p>
        </c:txPr>
        <c:crossAx val="292464032"/>
        <c:crosses val="autoZero"/>
        <c:auto val="1"/>
        <c:lblAlgn val="ctr"/>
        <c:lblOffset val="100"/>
        <c:tickLblSkip val="2"/>
        <c:tickMarkSkip val="2"/>
        <c:noMultiLvlLbl val="0"/>
      </c:catAx>
      <c:valAx>
        <c:axId val="292464032"/>
        <c:scaling>
          <c:orientation val="minMax"/>
          <c:min val="4000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Millions</a:t>
                </a:r>
                <a:r>
                  <a:rPr lang="en-US" baseline="0">
                    <a:solidFill>
                      <a:schemeClr val="tx1"/>
                    </a:solidFill>
                  </a:rPr>
                  <a:t> of chained 2009 dollars</a:t>
                </a:r>
                <a:endParaRPr lang="en-US">
                  <a:solidFill>
                    <a:schemeClr val="tx1"/>
                  </a:solidFill>
                </a:endParaRPr>
              </a:p>
            </c:rich>
          </c:tx>
          <c:layout>
            <c:manualLayout>
              <c:xMode val="edge"/>
              <c:yMode val="edge"/>
              <c:x val="2.4083120588251943E-2"/>
              <c:y val="0.33620842141813984"/>
            </c:manualLayout>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crossAx val="292459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r>
              <a:rPr lang="en-US" b="1">
                <a:solidFill>
                  <a:schemeClr val="tx1"/>
                </a:solidFill>
              </a:rPr>
              <a:t>Imports</a:t>
            </a:r>
            <a:r>
              <a:rPr lang="en-US" b="1" baseline="0">
                <a:solidFill>
                  <a:schemeClr val="tx1"/>
                </a:solidFill>
              </a:rPr>
              <a:t> and exports of arts and cultural goods and services: 1998-2016</a:t>
            </a:r>
            <a:endParaRPr lang="en-US" b="1">
              <a:solidFill>
                <a:schemeClr val="tx1"/>
              </a:solidFill>
            </a:endParaRPr>
          </a:p>
        </c:rich>
      </c:tx>
      <c:layout/>
      <c:overlay val="0"/>
      <c:spPr>
        <a:noFill/>
        <a:ln>
          <a:noFill/>
        </a:ln>
        <a:effectLst/>
      </c:spPr>
      <c:txPr>
        <a:bodyPr rot="0" spcFirstLastPara="1" vertOverflow="ellipsis" vert="horz" wrap="square" anchor="ctr" anchorCtr="1"/>
        <a:lstStyle/>
        <a:p>
          <a:pPr>
            <a:defRPr sz="1400" b="1" i="0" u="none" strike="noStrike" kern="1200" spc="0" baseline="0">
              <a:solidFill>
                <a:schemeClr val="tx1"/>
              </a:solidFill>
              <a:latin typeface="+mn-lt"/>
              <a:ea typeface="+mn-ea"/>
              <a:cs typeface="+mn-cs"/>
            </a:defRPr>
          </a:pPr>
          <a:endParaRPr lang="en-US"/>
        </a:p>
      </c:txPr>
    </c:title>
    <c:autoTitleDeleted val="0"/>
    <c:plotArea>
      <c:layout>
        <c:manualLayout>
          <c:layoutTarget val="inner"/>
          <c:xMode val="edge"/>
          <c:yMode val="edge"/>
          <c:x val="0.15411719999646509"/>
          <c:y val="0.14165085741199471"/>
          <c:w val="0.82119144197884353"/>
          <c:h val="0.65388327627049558"/>
        </c:manualLayout>
      </c:layout>
      <c:lineChart>
        <c:grouping val="standard"/>
        <c:varyColors val="0"/>
        <c:ser>
          <c:idx val="0"/>
          <c:order val="0"/>
          <c:tx>
            <c:strRef>
              <c:f>Sheet2!$B$3</c:f>
              <c:strCache>
                <c:ptCount val="1"/>
                <c:pt idx="0">
                  <c:v>Arts and cultural imports</c:v>
                </c:pt>
              </c:strCache>
            </c:strRef>
          </c:tx>
          <c:spPr>
            <a:ln w="38100" cap="rnd">
              <a:solidFill>
                <a:srgbClr val="73C6D7"/>
              </a:solidFill>
              <a:prstDash val="sysDot"/>
              <a:round/>
            </a:ln>
            <a:effectLst/>
          </c:spPr>
          <c:marker>
            <c:symbol val="none"/>
          </c:marker>
          <c:cat>
            <c:numRef>
              <c:f>Sheet2!$A$4:$A$22</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Sheet2!$B$4:$B$22</c:f>
              <c:numCache>
                <c:formatCode>"$"#,##0</c:formatCode>
                <c:ptCount val="19"/>
                <c:pt idx="0">
                  <c:v>21983</c:v>
                </c:pt>
                <c:pt idx="1">
                  <c:v>26401</c:v>
                </c:pt>
                <c:pt idx="2">
                  <c:v>31509</c:v>
                </c:pt>
                <c:pt idx="3">
                  <c:v>28819</c:v>
                </c:pt>
                <c:pt idx="4">
                  <c:v>32257</c:v>
                </c:pt>
                <c:pt idx="5">
                  <c:v>32486</c:v>
                </c:pt>
                <c:pt idx="6">
                  <c:v>35605</c:v>
                </c:pt>
                <c:pt idx="7">
                  <c:v>39045</c:v>
                </c:pt>
                <c:pt idx="8">
                  <c:v>43236</c:v>
                </c:pt>
                <c:pt idx="9">
                  <c:v>47354</c:v>
                </c:pt>
                <c:pt idx="10">
                  <c:v>42394</c:v>
                </c:pt>
                <c:pt idx="11">
                  <c:v>30027</c:v>
                </c:pt>
                <c:pt idx="12">
                  <c:v>34532</c:v>
                </c:pt>
                <c:pt idx="13">
                  <c:v>36225</c:v>
                </c:pt>
                <c:pt idx="14">
                  <c:v>35442</c:v>
                </c:pt>
                <c:pt idx="15">
                  <c:v>35531</c:v>
                </c:pt>
                <c:pt idx="16">
                  <c:v>34727</c:v>
                </c:pt>
                <c:pt idx="17">
                  <c:v>42514</c:v>
                </c:pt>
                <c:pt idx="18">
                  <c:v>40644</c:v>
                </c:pt>
              </c:numCache>
            </c:numRef>
          </c:val>
          <c:smooth val="0"/>
          <c:extLst>
            <c:ext xmlns:c16="http://schemas.microsoft.com/office/drawing/2014/chart" uri="{C3380CC4-5D6E-409C-BE32-E72D297353CC}">
              <c16:uniqueId val="{00000000-1F49-4E03-A06D-58058A1369B3}"/>
            </c:ext>
          </c:extLst>
        </c:ser>
        <c:ser>
          <c:idx val="1"/>
          <c:order val="1"/>
          <c:tx>
            <c:strRef>
              <c:f>Sheet2!$C$3</c:f>
              <c:strCache>
                <c:ptCount val="1"/>
                <c:pt idx="0">
                  <c:v>Arts and cultural exports</c:v>
                </c:pt>
              </c:strCache>
            </c:strRef>
          </c:tx>
          <c:spPr>
            <a:ln w="41275" cap="rnd">
              <a:solidFill>
                <a:srgbClr val="3092A6"/>
              </a:solidFill>
              <a:round/>
            </a:ln>
            <a:effectLst/>
          </c:spPr>
          <c:marker>
            <c:symbol val="none"/>
          </c:marker>
          <c:cat>
            <c:numRef>
              <c:f>Sheet2!$A$4:$A$22</c:f>
              <c:numCache>
                <c:formatCode>General</c:formatCode>
                <c:ptCount val="19"/>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numCache>
            </c:numRef>
          </c:cat>
          <c:val>
            <c:numRef>
              <c:f>Sheet2!$C$4:$C$22</c:f>
              <c:numCache>
                <c:formatCode>"$"#,##0</c:formatCode>
                <c:ptCount val="19"/>
                <c:pt idx="0">
                  <c:v>20013</c:v>
                </c:pt>
                <c:pt idx="1">
                  <c:v>22360</c:v>
                </c:pt>
                <c:pt idx="2">
                  <c:v>25193</c:v>
                </c:pt>
                <c:pt idx="3">
                  <c:v>26105</c:v>
                </c:pt>
                <c:pt idx="4">
                  <c:v>26300</c:v>
                </c:pt>
                <c:pt idx="5">
                  <c:v>26900</c:v>
                </c:pt>
                <c:pt idx="6">
                  <c:v>31916</c:v>
                </c:pt>
                <c:pt idx="7">
                  <c:v>37258</c:v>
                </c:pt>
                <c:pt idx="8">
                  <c:v>45237</c:v>
                </c:pt>
                <c:pt idx="9">
                  <c:v>52029</c:v>
                </c:pt>
                <c:pt idx="10">
                  <c:v>54900</c:v>
                </c:pt>
                <c:pt idx="11">
                  <c:v>50165</c:v>
                </c:pt>
                <c:pt idx="12">
                  <c:v>52353</c:v>
                </c:pt>
                <c:pt idx="13">
                  <c:v>57409</c:v>
                </c:pt>
                <c:pt idx="14">
                  <c:v>58685</c:v>
                </c:pt>
                <c:pt idx="15">
                  <c:v>58980</c:v>
                </c:pt>
                <c:pt idx="16">
                  <c:v>63598</c:v>
                </c:pt>
                <c:pt idx="17">
                  <c:v>66493</c:v>
                </c:pt>
                <c:pt idx="18">
                  <c:v>65417</c:v>
                </c:pt>
              </c:numCache>
            </c:numRef>
          </c:val>
          <c:smooth val="0"/>
          <c:extLst>
            <c:ext xmlns:c16="http://schemas.microsoft.com/office/drawing/2014/chart" uri="{C3380CC4-5D6E-409C-BE32-E72D297353CC}">
              <c16:uniqueId val="{00000001-1F49-4E03-A06D-58058A1369B3}"/>
            </c:ext>
          </c:extLst>
        </c:ser>
        <c:dLbls>
          <c:showLegendKey val="0"/>
          <c:showVal val="0"/>
          <c:showCatName val="0"/>
          <c:showSerName val="0"/>
          <c:showPercent val="0"/>
          <c:showBubbleSize val="0"/>
        </c:dLbls>
        <c:smooth val="0"/>
        <c:axId val="544855480"/>
        <c:axId val="544855872"/>
      </c:lineChart>
      <c:catAx>
        <c:axId val="544855480"/>
        <c:scaling>
          <c:orientation val="minMax"/>
        </c:scaling>
        <c:delete val="0"/>
        <c:axPos val="b"/>
        <c:title>
          <c:tx>
            <c:rich>
              <a:bodyPr rot="0" spcFirstLastPara="1" vertOverflow="ellipsis" vert="horz" wrap="square" anchor="ctr" anchorCtr="1"/>
              <a:lstStyle/>
              <a:p>
                <a:pPr algn="l">
                  <a:defRPr sz="900" b="0" i="0" u="none" strike="noStrike" kern="1200" baseline="0">
                    <a:solidFill>
                      <a:schemeClr val="tx1"/>
                    </a:solidFill>
                    <a:latin typeface="+mn-lt"/>
                    <a:ea typeface="+mn-ea"/>
                    <a:cs typeface="+mn-cs"/>
                  </a:defRPr>
                </a:pPr>
                <a:r>
                  <a:rPr lang="en-US" sz="900">
                    <a:solidFill>
                      <a:schemeClr val="tx1"/>
                    </a:solidFill>
                  </a:rPr>
                  <a:t>Data</a:t>
                </a:r>
                <a:r>
                  <a:rPr lang="en-US" sz="900" baseline="0">
                    <a:solidFill>
                      <a:schemeClr val="tx1"/>
                    </a:solidFill>
                  </a:rPr>
                  <a:t> source: Arts and Cultural Production Satellite Account (ACPSA), U.S. Bureau of Economic Analysis and National Endowment for the Arts</a:t>
                </a:r>
                <a:endParaRPr lang="en-US" sz="900">
                  <a:solidFill>
                    <a:schemeClr val="tx1"/>
                  </a:solidFill>
                </a:endParaRPr>
              </a:p>
            </c:rich>
          </c:tx>
          <c:layout>
            <c:manualLayout>
              <c:xMode val="edge"/>
              <c:yMode val="edge"/>
              <c:x val="2.1087692321288095E-2"/>
              <c:y val="0.95634757109512125"/>
            </c:manualLayout>
          </c:layout>
          <c:overlay val="0"/>
          <c:spPr>
            <a:noFill/>
            <a:ln>
              <a:noFill/>
            </a:ln>
            <a:effectLst/>
          </c:spPr>
          <c:txPr>
            <a:bodyPr rot="0" spcFirstLastPara="1" vertOverflow="ellipsis" vert="horz" wrap="square" anchor="ctr" anchorCtr="1"/>
            <a:lstStyle/>
            <a:p>
              <a:pPr algn="l">
                <a:defRPr sz="9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544855872"/>
        <c:crosses val="autoZero"/>
        <c:auto val="1"/>
        <c:lblAlgn val="ctr"/>
        <c:lblOffset val="100"/>
        <c:tickLblSkip val="2"/>
        <c:tickMarkSkip val="2"/>
        <c:noMultiLvlLbl val="0"/>
      </c:catAx>
      <c:valAx>
        <c:axId val="5448558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solidFill>
                      <a:schemeClr val="tx1"/>
                    </a:solidFill>
                  </a:rPr>
                  <a:t>(Millions)</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quot;$&quot;#,##0"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crossAx val="544855480"/>
        <c:crosses val="autoZero"/>
        <c:crossBetween val="between"/>
      </c:valAx>
      <c:spPr>
        <a:noFill/>
        <a:ln>
          <a:noFill/>
        </a:ln>
        <a:effectLst/>
      </c:spPr>
    </c:plotArea>
    <c:legend>
      <c:legendPos val="b"/>
      <c:layout>
        <c:manualLayout>
          <c:xMode val="edge"/>
          <c:yMode val="edge"/>
          <c:x val="0.2160370105251995"/>
          <c:y val="0.85980233082421831"/>
          <c:w val="0.72541813586433013"/>
          <c:h val="4.4402479777946029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0.03438</cdr:x>
      <cdr:y>0.89286</cdr:y>
    </cdr:from>
    <cdr:to>
      <cdr:x>0.99127</cdr:x>
      <cdr:y>0.9932</cdr:y>
    </cdr:to>
    <cdr:sp macro="" textlink="">
      <cdr:nvSpPr>
        <cdr:cNvPr id="2" name="TextBox 1"/>
        <cdr:cNvSpPr txBox="1"/>
      </cdr:nvSpPr>
      <cdr:spPr>
        <a:xfrm xmlns:a="http://schemas.openxmlformats.org/drawingml/2006/main">
          <a:off x="262630" y="5000625"/>
          <a:ext cx="7309747" cy="5619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000"/>
            <a:t>Note: "School-based arts education" refers to primary, secondary, and post-secondary arts education.</a:t>
          </a:r>
        </a:p>
        <a:p xmlns:a="http://schemas.openxmlformats.org/drawingml/2006/main">
          <a:r>
            <a:rPr lang="en-US" sz="1000"/>
            <a:t>Data source: Arts and Cultural Production Satellite Account (ACPSA), U.S. Bureau of Economic Analysis </a:t>
          </a:r>
        </a:p>
        <a:p xmlns:a="http://schemas.openxmlformats.org/drawingml/2006/main">
          <a:r>
            <a:rPr lang="en-US" sz="1000"/>
            <a:t>and National Endowment for the Arts</a:t>
          </a:r>
        </a:p>
      </cdr:txBody>
    </cdr:sp>
  </cdr:relSizeAnchor>
</c:userShapes>
</file>

<file path=word/drawings/drawing2.xml><?xml version="1.0" encoding="utf-8"?>
<c:userShapes xmlns:c="http://schemas.openxmlformats.org/drawingml/2006/chart">
  <cdr:relSizeAnchor xmlns:cdr="http://schemas.openxmlformats.org/drawingml/2006/chartDrawing">
    <cdr:from>
      <cdr:x>0.69529</cdr:x>
      <cdr:y>0.34254</cdr:y>
    </cdr:from>
    <cdr:to>
      <cdr:x>0.92424</cdr:x>
      <cdr:y>0.39963</cdr:y>
    </cdr:to>
    <cdr:sp macro="" textlink="">
      <cdr:nvSpPr>
        <cdr:cNvPr id="2" name="TextBox 1"/>
        <cdr:cNvSpPr txBox="1"/>
      </cdr:nvSpPr>
      <cdr:spPr>
        <a:xfrm xmlns:a="http://schemas.openxmlformats.org/drawingml/2006/main">
          <a:off x="3933825" y="1771651"/>
          <a:ext cx="1295400" cy="29527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US" sz="1100"/>
            <a:t>Trade surplus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1390C-4A35-45A6-8972-52594EA8A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Nichols</dc:creator>
  <cp:keywords/>
  <dc:description/>
  <cp:lastModifiedBy>Bushra Akbar</cp:lastModifiedBy>
  <cp:revision>3</cp:revision>
  <cp:lastPrinted>2019-02-25T21:28:00Z</cp:lastPrinted>
  <dcterms:created xsi:type="dcterms:W3CDTF">2019-03-06T19:12:00Z</dcterms:created>
  <dcterms:modified xsi:type="dcterms:W3CDTF">2019-03-06T19:19:00Z</dcterms:modified>
</cp:coreProperties>
</file>