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B08" w:rsidRDefault="00F15EE0" w:rsidP="00B57B08">
      <w:pPr>
        <w:jc w:val="center"/>
        <w:rPr>
          <w:rFonts w:ascii="Arial" w:hAnsi="Arial" w:cs="Arial"/>
          <w:b/>
          <w:sz w:val="28"/>
        </w:rPr>
      </w:pPr>
      <w:r>
        <w:rPr>
          <w:rFonts w:ascii="Arial" w:hAnsi="Arial" w:cs="Arial"/>
          <w:b/>
          <w:noProof/>
          <w:sz w:val="28"/>
        </w:rPr>
        <w:drawing>
          <wp:inline distT="0" distB="0" distL="0" distR="0" wp14:anchorId="73ADD51B" wp14:editId="6ED56823">
            <wp:extent cx="6250940" cy="11715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color-logo-large.jpg"/>
                    <pic:cNvPicPr/>
                  </pic:nvPicPr>
                  <pic:blipFill rotWithShape="1">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l="4817" t="38177" r="-585" b="38596"/>
                    <a:stretch/>
                  </pic:blipFill>
                  <pic:spPr bwMode="auto">
                    <a:xfrm>
                      <a:off x="0" y="0"/>
                      <a:ext cx="6329074" cy="1186185"/>
                    </a:xfrm>
                    <a:prstGeom prst="rect">
                      <a:avLst/>
                    </a:prstGeom>
                    <a:ln>
                      <a:noFill/>
                    </a:ln>
                    <a:extLst>
                      <a:ext uri="{53640926-AAD7-44D8-BBD7-CCE9431645EC}">
                        <a14:shadowObscured xmlns:a14="http://schemas.microsoft.com/office/drawing/2010/main"/>
                      </a:ext>
                    </a:extLst>
                  </pic:spPr>
                </pic:pic>
              </a:graphicData>
            </a:graphic>
          </wp:inline>
        </w:drawing>
      </w:r>
    </w:p>
    <w:p w:rsidR="00B57B08" w:rsidRDefault="00B57B08" w:rsidP="00B57B08">
      <w:pPr>
        <w:jc w:val="center"/>
        <w:rPr>
          <w:rFonts w:ascii="Arial" w:hAnsi="Arial" w:cs="Arial"/>
          <w:b/>
          <w:sz w:val="28"/>
        </w:rPr>
      </w:pPr>
    </w:p>
    <w:p w:rsidR="00B57B08" w:rsidRDefault="00B57B08" w:rsidP="00B57B08">
      <w:pPr>
        <w:jc w:val="center"/>
        <w:rPr>
          <w:rFonts w:ascii="Arial" w:hAnsi="Arial" w:cs="Arial"/>
          <w:b/>
          <w:sz w:val="28"/>
        </w:rPr>
      </w:pPr>
    </w:p>
    <w:p w:rsidR="00B57B08" w:rsidRDefault="00B57B08" w:rsidP="00B57B08">
      <w:pPr>
        <w:jc w:val="center"/>
        <w:rPr>
          <w:rFonts w:ascii="Arial" w:hAnsi="Arial" w:cs="Arial"/>
          <w:b/>
          <w:sz w:val="28"/>
        </w:rPr>
      </w:pPr>
    </w:p>
    <w:p w:rsidR="00B57B08" w:rsidRDefault="00B57B08" w:rsidP="00B57B08">
      <w:pPr>
        <w:jc w:val="center"/>
        <w:rPr>
          <w:rFonts w:ascii="Arial" w:hAnsi="Arial" w:cs="Arial"/>
          <w:b/>
          <w:sz w:val="28"/>
        </w:rPr>
      </w:pPr>
    </w:p>
    <w:p w:rsidR="00F15EE0" w:rsidRDefault="00F15EE0" w:rsidP="00F15EE0">
      <w:pPr>
        <w:jc w:val="center"/>
        <w:rPr>
          <w:rFonts w:ascii="Arial" w:hAnsi="Arial" w:cs="Arial"/>
          <w:b/>
          <w:sz w:val="28"/>
        </w:rPr>
      </w:pPr>
      <w:r>
        <w:rPr>
          <w:rFonts w:ascii="Arial" w:hAnsi="Arial" w:cs="Arial"/>
          <w:b/>
          <w:sz w:val="28"/>
        </w:rPr>
        <w:t>National Endowment for the Arts</w:t>
      </w:r>
    </w:p>
    <w:p w:rsidR="00F15EE0" w:rsidRDefault="00F15EE0" w:rsidP="00F15EE0">
      <w:pPr>
        <w:jc w:val="center"/>
        <w:rPr>
          <w:rFonts w:ascii="Arial" w:hAnsi="Arial" w:cs="Arial"/>
          <w:b/>
          <w:sz w:val="28"/>
        </w:rPr>
      </w:pPr>
    </w:p>
    <w:p w:rsidR="00F15EE0" w:rsidRDefault="00CB22BD" w:rsidP="00F15EE0">
      <w:pPr>
        <w:jc w:val="center"/>
        <w:rPr>
          <w:rFonts w:ascii="Arial" w:hAnsi="Arial" w:cs="Arial"/>
          <w:b/>
          <w:noProof/>
          <w:sz w:val="28"/>
        </w:rPr>
      </w:pPr>
      <w:r w:rsidRPr="00B57B08">
        <w:rPr>
          <w:rFonts w:ascii="Arial" w:hAnsi="Arial" w:cs="Arial"/>
          <w:b/>
          <w:sz w:val="28"/>
        </w:rPr>
        <w:t xml:space="preserve">Convening Toolkit: </w:t>
      </w:r>
    </w:p>
    <w:p w:rsidR="00CB22BD" w:rsidRPr="00B57B08" w:rsidRDefault="00CB22BD" w:rsidP="00F15EE0">
      <w:pPr>
        <w:jc w:val="center"/>
        <w:rPr>
          <w:rFonts w:ascii="Arial" w:hAnsi="Arial" w:cs="Arial"/>
          <w:b/>
          <w:sz w:val="28"/>
        </w:rPr>
      </w:pPr>
      <w:r w:rsidRPr="00B57B08">
        <w:rPr>
          <w:rFonts w:ascii="Arial" w:hAnsi="Arial" w:cs="Arial"/>
          <w:b/>
          <w:sz w:val="28"/>
        </w:rPr>
        <w:t>Documentary Career Sustainability</w:t>
      </w:r>
    </w:p>
    <w:p w:rsidR="009E6FB1" w:rsidRDefault="009E6FB1" w:rsidP="00CB22BD">
      <w:pPr>
        <w:rPr>
          <w:b/>
          <w:sz w:val="24"/>
        </w:rPr>
      </w:pPr>
    </w:p>
    <w:p w:rsidR="00B57B08" w:rsidRDefault="00B57B08" w:rsidP="00CB22BD">
      <w:pPr>
        <w:rPr>
          <w:b/>
          <w:sz w:val="24"/>
        </w:rPr>
      </w:pPr>
    </w:p>
    <w:p w:rsidR="00B57B08" w:rsidRDefault="00B57B08" w:rsidP="00CB22BD">
      <w:pPr>
        <w:rPr>
          <w:b/>
          <w:sz w:val="24"/>
        </w:rPr>
      </w:pPr>
    </w:p>
    <w:p w:rsidR="00B57B08" w:rsidRDefault="00B57B08" w:rsidP="00CB22BD">
      <w:pPr>
        <w:rPr>
          <w:b/>
          <w:sz w:val="24"/>
        </w:rPr>
      </w:pPr>
    </w:p>
    <w:p w:rsidR="00B57B08" w:rsidRDefault="00B57B08" w:rsidP="00CB22BD">
      <w:pPr>
        <w:rPr>
          <w:b/>
          <w:sz w:val="24"/>
        </w:rPr>
      </w:pPr>
    </w:p>
    <w:p w:rsidR="00B57B08" w:rsidRDefault="00B57B08" w:rsidP="00CB22BD">
      <w:pPr>
        <w:rPr>
          <w:b/>
          <w:sz w:val="24"/>
        </w:rPr>
      </w:pPr>
    </w:p>
    <w:p w:rsidR="00B57B08" w:rsidRPr="00B57B08" w:rsidRDefault="00B57B08" w:rsidP="00CB22BD">
      <w:pPr>
        <w:rPr>
          <w:b/>
          <w:sz w:val="24"/>
        </w:rPr>
      </w:pPr>
    </w:p>
    <w:p w:rsidR="00F15EE0" w:rsidRDefault="00F15EE0">
      <w:pPr>
        <w:rPr>
          <w:rFonts w:ascii="Arial" w:hAnsi="Arial" w:cs="Arial"/>
          <w:b/>
          <w:sz w:val="24"/>
        </w:rPr>
      </w:pPr>
      <w:r>
        <w:rPr>
          <w:rFonts w:ascii="Arial" w:hAnsi="Arial" w:cs="Arial"/>
          <w:b/>
          <w:sz w:val="24"/>
        </w:rPr>
        <w:br w:type="page"/>
      </w:r>
      <w:bookmarkStart w:id="0" w:name="_GoBack"/>
      <w:bookmarkEnd w:id="0"/>
    </w:p>
    <w:p w:rsidR="00F15EE0" w:rsidRDefault="00F15EE0" w:rsidP="00CB22BD">
      <w:pPr>
        <w:rPr>
          <w:rFonts w:ascii="Arial" w:hAnsi="Arial" w:cs="Arial"/>
          <w:b/>
          <w:sz w:val="24"/>
        </w:rPr>
      </w:pPr>
    </w:p>
    <w:p w:rsidR="009E6FB1" w:rsidRPr="00B57B08" w:rsidRDefault="00B25727" w:rsidP="00CB22BD">
      <w:pPr>
        <w:rPr>
          <w:rFonts w:ascii="Arial" w:hAnsi="Arial" w:cs="Arial"/>
          <w:b/>
          <w:sz w:val="24"/>
        </w:rPr>
      </w:pPr>
      <w:r w:rsidRPr="00B57B08">
        <w:rPr>
          <w:rFonts w:ascii="Arial" w:hAnsi="Arial" w:cs="Arial"/>
          <w:b/>
          <w:sz w:val="24"/>
        </w:rPr>
        <w:t>TOOLKIT</w:t>
      </w:r>
      <w:r w:rsidR="00F15EE0">
        <w:rPr>
          <w:rFonts w:ascii="Arial" w:hAnsi="Arial" w:cs="Arial"/>
          <w:b/>
          <w:sz w:val="24"/>
        </w:rPr>
        <w:t xml:space="preserve"> OVERVIEW</w:t>
      </w:r>
    </w:p>
    <w:p w:rsidR="00B25727" w:rsidRPr="00F15EE0" w:rsidRDefault="00C4655E" w:rsidP="009E6FB1">
      <w:pPr>
        <w:pStyle w:val="ListParagraph"/>
        <w:numPr>
          <w:ilvl w:val="0"/>
          <w:numId w:val="1"/>
        </w:numPr>
        <w:ind w:left="720"/>
        <w:rPr>
          <w:rFonts w:cs="Arial"/>
          <w:sz w:val="24"/>
        </w:rPr>
      </w:pPr>
      <w:r w:rsidRPr="00F15EE0">
        <w:rPr>
          <w:rFonts w:cs="Arial"/>
          <w:sz w:val="24"/>
        </w:rPr>
        <w:t xml:space="preserve">Helpful </w:t>
      </w:r>
      <w:r w:rsidR="00ED1172">
        <w:rPr>
          <w:rFonts w:cs="Arial"/>
          <w:sz w:val="24"/>
        </w:rPr>
        <w:t>tips and c</w:t>
      </w:r>
      <w:r w:rsidR="00B25727" w:rsidRPr="00F15EE0">
        <w:rPr>
          <w:rFonts w:cs="Arial"/>
          <w:sz w:val="24"/>
        </w:rPr>
        <w:t>onsideration</w:t>
      </w:r>
      <w:r w:rsidRPr="00F15EE0">
        <w:rPr>
          <w:rFonts w:cs="Arial"/>
          <w:sz w:val="24"/>
        </w:rPr>
        <w:t>s</w:t>
      </w:r>
      <w:r w:rsidR="00F15EE0" w:rsidRPr="00F15EE0">
        <w:rPr>
          <w:rFonts w:cs="Arial"/>
          <w:sz w:val="24"/>
        </w:rPr>
        <w:t xml:space="preserve"> (Page 3-4)</w:t>
      </w:r>
    </w:p>
    <w:p w:rsidR="009E6FB1" w:rsidRPr="00F15EE0" w:rsidRDefault="00ED1172" w:rsidP="009E6FB1">
      <w:pPr>
        <w:pStyle w:val="ListParagraph"/>
        <w:numPr>
          <w:ilvl w:val="0"/>
          <w:numId w:val="1"/>
        </w:numPr>
        <w:ind w:left="720"/>
        <w:rPr>
          <w:rFonts w:cs="Arial"/>
          <w:sz w:val="24"/>
        </w:rPr>
      </w:pPr>
      <w:r>
        <w:rPr>
          <w:rFonts w:cs="Arial"/>
          <w:sz w:val="24"/>
        </w:rPr>
        <w:t>Sample agenda o</w:t>
      </w:r>
      <w:r w:rsidR="00C4655E" w:rsidRPr="00F15EE0">
        <w:rPr>
          <w:rFonts w:cs="Arial"/>
          <w:sz w:val="24"/>
        </w:rPr>
        <w:t>utline</w:t>
      </w:r>
      <w:r w:rsidR="00F15EE0" w:rsidRPr="00F15EE0">
        <w:rPr>
          <w:rFonts w:cs="Arial"/>
          <w:sz w:val="24"/>
        </w:rPr>
        <w:t xml:space="preserve"> (Page 5)</w:t>
      </w:r>
    </w:p>
    <w:p w:rsidR="00F15EE0" w:rsidRPr="00F15EE0" w:rsidRDefault="00ED1172" w:rsidP="009E6FB1">
      <w:pPr>
        <w:pStyle w:val="ListParagraph"/>
        <w:numPr>
          <w:ilvl w:val="0"/>
          <w:numId w:val="1"/>
        </w:numPr>
        <w:ind w:left="720"/>
        <w:rPr>
          <w:rFonts w:cs="Arial"/>
          <w:sz w:val="24"/>
        </w:rPr>
      </w:pPr>
      <w:r>
        <w:rPr>
          <w:rFonts w:cs="Arial"/>
          <w:sz w:val="24"/>
        </w:rPr>
        <w:t>Sample i</w:t>
      </w:r>
      <w:r w:rsidR="009E6FB1" w:rsidRPr="00F15EE0">
        <w:rPr>
          <w:rFonts w:cs="Arial"/>
          <w:sz w:val="24"/>
        </w:rPr>
        <w:t>nvite email</w:t>
      </w:r>
      <w:r w:rsidR="00F15EE0" w:rsidRPr="00F15EE0">
        <w:rPr>
          <w:rFonts w:cs="Arial"/>
          <w:sz w:val="24"/>
        </w:rPr>
        <w:t xml:space="preserve"> with suggested readings/resources for participants (Page 6)</w:t>
      </w:r>
    </w:p>
    <w:p w:rsidR="009E6FB1" w:rsidRPr="00F15EE0" w:rsidRDefault="00F15EE0" w:rsidP="009E6FB1">
      <w:pPr>
        <w:pStyle w:val="ListParagraph"/>
        <w:numPr>
          <w:ilvl w:val="0"/>
          <w:numId w:val="1"/>
        </w:numPr>
        <w:ind w:left="720"/>
        <w:rPr>
          <w:rFonts w:cs="Arial"/>
          <w:sz w:val="24"/>
        </w:rPr>
      </w:pPr>
      <w:r w:rsidRPr="00F15EE0">
        <w:rPr>
          <w:rFonts w:cs="Arial"/>
          <w:sz w:val="24"/>
        </w:rPr>
        <w:t xml:space="preserve">Sample </w:t>
      </w:r>
      <w:r w:rsidR="00ED1172">
        <w:rPr>
          <w:rFonts w:cs="Arial"/>
          <w:sz w:val="24"/>
        </w:rPr>
        <w:t>i</w:t>
      </w:r>
      <w:r w:rsidRPr="00F15EE0">
        <w:rPr>
          <w:rFonts w:cs="Arial"/>
          <w:sz w:val="24"/>
        </w:rPr>
        <w:t>nvitation</w:t>
      </w:r>
      <w:r w:rsidR="009E6FB1" w:rsidRPr="00F15EE0">
        <w:rPr>
          <w:rFonts w:cs="Arial"/>
          <w:sz w:val="24"/>
        </w:rPr>
        <w:t xml:space="preserve"> </w:t>
      </w:r>
      <w:r w:rsidRPr="00F15EE0">
        <w:rPr>
          <w:rFonts w:cs="Arial"/>
          <w:sz w:val="24"/>
        </w:rPr>
        <w:t>(Page 7)</w:t>
      </w:r>
    </w:p>
    <w:p w:rsidR="00C4655E" w:rsidRPr="00F15EE0" w:rsidRDefault="00C4655E" w:rsidP="00C4655E">
      <w:pPr>
        <w:pStyle w:val="ListParagraph"/>
        <w:numPr>
          <w:ilvl w:val="0"/>
          <w:numId w:val="1"/>
        </w:numPr>
        <w:ind w:left="720"/>
        <w:rPr>
          <w:rFonts w:cs="Arial"/>
          <w:sz w:val="24"/>
        </w:rPr>
      </w:pPr>
      <w:r w:rsidRPr="00F15EE0">
        <w:rPr>
          <w:rFonts w:cs="Arial"/>
          <w:sz w:val="24"/>
        </w:rPr>
        <w:t>Sample breakout session worksheets for needs analysis and asset mapping</w:t>
      </w:r>
      <w:r w:rsidR="00F15EE0" w:rsidRPr="00F15EE0">
        <w:rPr>
          <w:rFonts w:cs="Arial"/>
          <w:sz w:val="24"/>
        </w:rPr>
        <w:t xml:space="preserve"> (Pages 8-11)</w:t>
      </w:r>
    </w:p>
    <w:p w:rsidR="00B57B08" w:rsidRPr="00F15EE0" w:rsidRDefault="00B57B08">
      <w:pPr>
        <w:rPr>
          <w:b/>
          <w:sz w:val="24"/>
        </w:rPr>
      </w:pPr>
      <w:r w:rsidRPr="00F15EE0">
        <w:rPr>
          <w:b/>
          <w:sz w:val="24"/>
        </w:rPr>
        <w:br w:type="page"/>
      </w:r>
    </w:p>
    <w:p w:rsidR="00523427" w:rsidRPr="00523427" w:rsidRDefault="009E6FB1" w:rsidP="00523427">
      <w:pPr>
        <w:pStyle w:val="Heading1"/>
        <w:rPr>
          <w:rFonts w:ascii="Arial" w:hAnsi="Arial" w:cs="Arial"/>
          <w:b/>
          <w:i/>
          <w:sz w:val="28"/>
          <w:szCs w:val="28"/>
        </w:rPr>
      </w:pPr>
      <w:r w:rsidRPr="00523427">
        <w:rPr>
          <w:rFonts w:ascii="Arial" w:hAnsi="Arial" w:cs="Arial"/>
          <w:b/>
          <w:i/>
          <w:sz w:val="28"/>
          <w:szCs w:val="28"/>
        </w:rPr>
        <w:lastRenderedPageBreak/>
        <w:t>Helpful tips from the field:</w:t>
      </w:r>
    </w:p>
    <w:p w:rsidR="009E6FB1" w:rsidRPr="00B57B08" w:rsidRDefault="009E6FB1" w:rsidP="009E6FB1">
      <w:pPr>
        <w:pStyle w:val="ListParagraph"/>
        <w:numPr>
          <w:ilvl w:val="0"/>
          <w:numId w:val="4"/>
        </w:numPr>
        <w:rPr>
          <w:sz w:val="24"/>
        </w:rPr>
      </w:pPr>
      <w:r w:rsidRPr="00B57B08">
        <w:rPr>
          <w:sz w:val="24"/>
        </w:rPr>
        <w:t>Begin to plan a convening at least three to four months in advance. Though most funders are unable to provide funds on this short of a timeframe, it’s not too late to secure funds for subsequent years in advance if you already know there will be plans to convene annually.</w:t>
      </w:r>
    </w:p>
    <w:p w:rsidR="009E6FB1" w:rsidRPr="00B57B08" w:rsidRDefault="009E6FB1" w:rsidP="009E6FB1">
      <w:pPr>
        <w:pStyle w:val="ListParagraph"/>
        <w:rPr>
          <w:sz w:val="24"/>
        </w:rPr>
      </w:pPr>
    </w:p>
    <w:p w:rsidR="009E6FB1" w:rsidRPr="00B57B08" w:rsidRDefault="009E6FB1" w:rsidP="009E6FB1">
      <w:pPr>
        <w:pStyle w:val="ListParagraph"/>
        <w:numPr>
          <w:ilvl w:val="0"/>
          <w:numId w:val="4"/>
        </w:numPr>
        <w:rPr>
          <w:sz w:val="24"/>
        </w:rPr>
      </w:pPr>
      <w:r w:rsidRPr="00B57B08">
        <w:rPr>
          <w:sz w:val="24"/>
        </w:rPr>
        <w:t>Create a shared timeline to ensure enough time is scheduled for your organization, partners, facilitators, and attendees to plan for all aspects of the convening, from logistics to developing a visible distribution strategy for the disseminating findings from the convening.</w:t>
      </w:r>
    </w:p>
    <w:p w:rsidR="009E6FB1" w:rsidRPr="00B57B08" w:rsidRDefault="009E6FB1" w:rsidP="009E6FB1">
      <w:pPr>
        <w:pStyle w:val="ListParagraph"/>
        <w:rPr>
          <w:sz w:val="24"/>
        </w:rPr>
      </w:pPr>
    </w:p>
    <w:p w:rsidR="009E6FB1" w:rsidRPr="00B57B08" w:rsidRDefault="009E6FB1" w:rsidP="009E6FB1">
      <w:pPr>
        <w:pStyle w:val="ListParagraph"/>
        <w:numPr>
          <w:ilvl w:val="0"/>
          <w:numId w:val="4"/>
        </w:numPr>
        <w:rPr>
          <w:sz w:val="24"/>
        </w:rPr>
      </w:pPr>
      <w:r w:rsidRPr="00B57B08">
        <w:rPr>
          <w:sz w:val="24"/>
        </w:rPr>
        <w:t xml:space="preserve">Develop a visible distribution strategy for the disseminating findings from the convening, which includes involving local, regional and national networks in advance. For example, IDA’s </w:t>
      </w:r>
      <w:hyperlink r:id="rId9" w:history="1">
        <w:r w:rsidRPr="00B57B08">
          <w:rPr>
            <w:rStyle w:val="Hyperlink"/>
            <w:sz w:val="24"/>
          </w:rPr>
          <w:t>Documentary Magazine</w:t>
        </w:r>
      </w:hyperlink>
      <w:r w:rsidRPr="00B57B08">
        <w:rPr>
          <w:sz w:val="24"/>
        </w:rPr>
        <w:t xml:space="preserve"> has previously featured articles reporting out from a convening.</w:t>
      </w:r>
    </w:p>
    <w:p w:rsidR="009E6FB1" w:rsidRPr="00B57B08" w:rsidRDefault="009E6FB1" w:rsidP="009E6FB1">
      <w:pPr>
        <w:pStyle w:val="ListParagraph"/>
        <w:rPr>
          <w:sz w:val="24"/>
        </w:rPr>
      </w:pPr>
    </w:p>
    <w:p w:rsidR="009E6FB1" w:rsidRPr="00B57B08" w:rsidRDefault="009E6FB1" w:rsidP="009E6FB1">
      <w:pPr>
        <w:pStyle w:val="ListParagraph"/>
        <w:numPr>
          <w:ilvl w:val="0"/>
          <w:numId w:val="4"/>
        </w:numPr>
        <w:rPr>
          <w:sz w:val="24"/>
        </w:rPr>
      </w:pPr>
      <w:r w:rsidRPr="00B57B08">
        <w:rPr>
          <w:sz w:val="24"/>
        </w:rPr>
        <w:t>Schedule a convening in tandem with a local or regional event, such as a festival or conference, and leveraging those partnerships for support and in-kind exchanges. Additionally, this reduces the cost of attendance if your anticipated participants will already be nearby for an intersecting event.</w:t>
      </w:r>
    </w:p>
    <w:p w:rsidR="009E6FB1" w:rsidRPr="00B57B08" w:rsidRDefault="009E6FB1" w:rsidP="009E6FB1">
      <w:pPr>
        <w:pStyle w:val="ListParagraph"/>
        <w:rPr>
          <w:sz w:val="24"/>
        </w:rPr>
      </w:pPr>
    </w:p>
    <w:p w:rsidR="009E6FB1" w:rsidRPr="00B57B08" w:rsidRDefault="009E6FB1" w:rsidP="009E6FB1">
      <w:pPr>
        <w:pStyle w:val="ListParagraph"/>
        <w:numPr>
          <w:ilvl w:val="0"/>
          <w:numId w:val="4"/>
        </w:numPr>
        <w:rPr>
          <w:sz w:val="24"/>
        </w:rPr>
      </w:pPr>
      <w:r w:rsidRPr="00B57B08">
        <w:rPr>
          <w:sz w:val="24"/>
        </w:rPr>
        <w:t>Consider a range of potential partners to organize convening logistics and identify attendees. Partners may serve as a resource for space, funding, logistical support, and field knowledge.</w:t>
      </w:r>
    </w:p>
    <w:p w:rsidR="009E6FB1" w:rsidRPr="00B57B08" w:rsidRDefault="009E6FB1" w:rsidP="009E6FB1">
      <w:pPr>
        <w:pStyle w:val="ListParagraph"/>
        <w:rPr>
          <w:sz w:val="24"/>
        </w:rPr>
      </w:pPr>
    </w:p>
    <w:p w:rsidR="00B57B08" w:rsidRDefault="009E6FB1" w:rsidP="00B57B08">
      <w:pPr>
        <w:pStyle w:val="ListParagraph"/>
        <w:numPr>
          <w:ilvl w:val="0"/>
          <w:numId w:val="4"/>
        </w:numPr>
        <w:spacing w:line="240" w:lineRule="auto"/>
        <w:rPr>
          <w:sz w:val="24"/>
        </w:rPr>
      </w:pPr>
      <w:r w:rsidRPr="00B57B08">
        <w:rPr>
          <w:sz w:val="24"/>
        </w:rPr>
        <w:t>Make sure the convening agenda allows enough time for a rich and productive conversation. Think of this event as a dual purpose field-building opportunity to network and strategize. In order to achieve this, it is recommended to make this a full or multi-day event to give participants enough time to build relationships, reflect collectively, and articulate pathways to a shared solution.</w:t>
      </w:r>
    </w:p>
    <w:p w:rsidR="00B57B08" w:rsidRPr="00B57B08" w:rsidRDefault="00B57B08" w:rsidP="00B57B08">
      <w:pPr>
        <w:pStyle w:val="ListParagraph"/>
        <w:rPr>
          <w:sz w:val="24"/>
        </w:rPr>
      </w:pPr>
    </w:p>
    <w:p w:rsidR="009E6FB1" w:rsidRPr="00B57B08" w:rsidRDefault="009E6FB1" w:rsidP="00B57B08">
      <w:pPr>
        <w:pStyle w:val="ListParagraph"/>
        <w:numPr>
          <w:ilvl w:val="0"/>
          <w:numId w:val="4"/>
        </w:numPr>
        <w:spacing w:line="240" w:lineRule="auto"/>
        <w:rPr>
          <w:sz w:val="24"/>
        </w:rPr>
      </w:pPr>
      <w:r w:rsidRPr="00B57B08">
        <w:rPr>
          <w:sz w:val="24"/>
        </w:rPr>
        <w:t xml:space="preserve">Hire a dedicated facilitator who can assist with planning the convening, framing the day’s conversations, and devising and implementing a plan to report out on convening findings. </w:t>
      </w:r>
      <w:r w:rsidRPr="00B57B08">
        <w:rPr>
          <w:sz w:val="24"/>
        </w:rPr>
        <w:br/>
      </w:r>
    </w:p>
    <w:p w:rsidR="009E6FB1" w:rsidRPr="00B57B08" w:rsidRDefault="009E6FB1" w:rsidP="009E6FB1">
      <w:pPr>
        <w:pStyle w:val="ListParagraph"/>
        <w:numPr>
          <w:ilvl w:val="0"/>
          <w:numId w:val="4"/>
        </w:numPr>
        <w:rPr>
          <w:sz w:val="24"/>
        </w:rPr>
      </w:pPr>
      <w:r w:rsidRPr="00B57B08">
        <w:rPr>
          <w:sz w:val="24"/>
        </w:rPr>
        <w:t>Ensure the facilitators have enough documentation of the conversations, essential for later analysis in order to report on the stated needs and opportunities. This toolkit includes two worksheets for participants, convenient for facilitators to collect at the end of a session. Staff from other organizational partners or students from university can act as additional note takers.</w:t>
      </w:r>
      <w:r w:rsidRPr="00B57B08">
        <w:rPr>
          <w:sz w:val="24"/>
        </w:rPr>
        <w:br/>
      </w:r>
    </w:p>
    <w:p w:rsidR="009E6FB1" w:rsidRPr="00B57B08" w:rsidRDefault="009E6FB1" w:rsidP="009E6FB1">
      <w:pPr>
        <w:pStyle w:val="ListParagraph"/>
        <w:numPr>
          <w:ilvl w:val="0"/>
          <w:numId w:val="4"/>
        </w:numPr>
        <w:rPr>
          <w:sz w:val="24"/>
        </w:rPr>
      </w:pPr>
      <w:r w:rsidRPr="00B57B08">
        <w:rPr>
          <w:sz w:val="24"/>
        </w:rPr>
        <w:lastRenderedPageBreak/>
        <w:t>Identify and invite a range of potential participants, including those directly engaged with the field, those new to the conversation, as well as those with potentially untapped resources in your region. Think of this as an opportunity to cultivate a wider range of stakeholders.</w:t>
      </w:r>
    </w:p>
    <w:p w:rsidR="009E6FB1" w:rsidRPr="00B57B08" w:rsidRDefault="009E6FB1" w:rsidP="009E6FB1">
      <w:pPr>
        <w:pStyle w:val="ListParagraph"/>
        <w:rPr>
          <w:sz w:val="24"/>
        </w:rPr>
      </w:pPr>
    </w:p>
    <w:p w:rsidR="009E6FB1" w:rsidRPr="00B57B08" w:rsidRDefault="00C12067" w:rsidP="009E6FB1">
      <w:pPr>
        <w:pStyle w:val="ListParagraph"/>
        <w:numPr>
          <w:ilvl w:val="0"/>
          <w:numId w:val="4"/>
        </w:numPr>
        <w:rPr>
          <w:sz w:val="24"/>
        </w:rPr>
      </w:pPr>
      <w:r w:rsidRPr="00B57B08">
        <w:rPr>
          <w:sz w:val="24"/>
        </w:rPr>
        <w:t xml:space="preserve">Work with partners to develop a well-rounded invitation list. </w:t>
      </w:r>
      <w:r w:rsidR="009E6FB1" w:rsidRPr="00B57B08">
        <w:rPr>
          <w:sz w:val="24"/>
        </w:rPr>
        <w:t xml:space="preserve">In addition to </w:t>
      </w:r>
      <w:r w:rsidRPr="00B57B08">
        <w:rPr>
          <w:sz w:val="24"/>
        </w:rPr>
        <w:t xml:space="preserve">identifying </w:t>
      </w:r>
      <w:r w:rsidR="009E6FB1" w:rsidRPr="00B57B08">
        <w:rPr>
          <w:sz w:val="24"/>
        </w:rPr>
        <w:t>well-established players in your regional documentary ecosystem, include your local and state film commissioners, representatives from your state arts and humanities agencies, local government, public broadcasting entities, local businesses, representatives from colleges and universities, and representatives from foundations and issue-aligned nonprofits.</w:t>
      </w:r>
      <w:r w:rsidRPr="00B57B08">
        <w:rPr>
          <w:sz w:val="24"/>
        </w:rPr>
        <w:t xml:space="preserve"> Phone calls and e-invitations will ensure a range of stakeholders are welcome and present at the event.</w:t>
      </w:r>
    </w:p>
    <w:p w:rsidR="009E6FB1" w:rsidRPr="00B57B08" w:rsidRDefault="009E6FB1" w:rsidP="009E6FB1">
      <w:pPr>
        <w:pStyle w:val="ListParagraph"/>
        <w:rPr>
          <w:sz w:val="24"/>
        </w:rPr>
      </w:pPr>
    </w:p>
    <w:p w:rsidR="009E6FB1" w:rsidRPr="00B57B08" w:rsidRDefault="009E6FB1" w:rsidP="009E6FB1">
      <w:pPr>
        <w:pStyle w:val="ListParagraph"/>
        <w:numPr>
          <w:ilvl w:val="0"/>
          <w:numId w:val="4"/>
        </w:numPr>
        <w:rPr>
          <w:sz w:val="24"/>
        </w:rPr>
      </w:pPr>
      <w:r w:rsidRPr="00B57B08">
        <w:rPr>
          <w:sz w:val="24"/>
        </w:rPr>
        <w:t>Remember to include diverse voices—for example, individuals working on issues at the intersection of Media Arts and accessibility.</w:t>
      </w:r>
    </w:p>
    <w:p w:rsidR="009E6FB1" w:rsidRPr="00B57B08" w:rsidRDefault="009E6FB1" w:rsidP="009E6FB1">
      <w:pPr>
        <w:pStyle w:val="ListParagraph"/>
        <w:rPr>
          <w:sz w:val="24"/>
        </w:rPr>
      </w:pPr>
    </w:p>
    <w:p w:rsidR="009E6FB1" w:rsidRPr="00B57B08" w:rsidRDefault="009E6FB1" w:rsidP="009E6FB1">
      <w:pPr>
        <w:rPr>
          <w:b/>
          <w:sz w:val="24"/>
        </w:rPr>
      </w:pPr>
      <w:r w:rsidRPr="00B57B08">
        <w:rPr>
          <w:b/>
          <w:sz w:val="24"/>
        </w:rPr>
        <w:t xml:space="preserve">The end of your convening should not mean the end of the conversation. Here suggestions for documenting </w:t>
      </w:r>
      <w:r w:rsidR="00B57B08">
        <w:rPr>
          <w:b/>
          <w:sz w:val="24"/>
        </w:rPr>
        <w:t xml:space="preserve">the day </w:t>
      </w:r>
      <w:r w:rsidRPr="00B57B08">
        <w:rPr>
          <w:b/>
          <w:sz w:val="24"/>
        </w:rPr>
        <w:t xml:space="preserve">and sharing out </w:t>
      </w:r>
      <w:r w:rsidR="00B57B08">
        <w:rPr>
          <w:b/>
          <w:sz w:val="24"/>
        </w:rPr>
        <w:t>findings:</w:t>
      </w:r>
    </w:p>
    <w:p w:rsidR="009E6FB1" w:rsidRDefault="009E6FB1" w:rsidP="009E6FB1">
      <w:pPr>
        <w:pStyle w:val="ListParagraph"/>
        <w:numPr>
          <w:ilvl w:val="0"/>
          <w:numId w:val="6"/>
        </w:numPr>
        <w:rPr>
          <w:sz w:val="24"/>
        </w:rPr>
      </w:pPr>
      <w:r w:rsidRPr="00B57B08">
        <w:rPr>
          <w:sz w:val="24"/>
        </w:rPr>
        <w:t xml:space="preserve">Consider having a reporter on site – whether from a local news outlet, a service organization, or a field resource such as </w:t>
      </w:r>
      <w:r w:rsidRPr="00B57B08">
        <w:rPr>
          <w:i/>
          <w:sz w:val="24"/>
        </w:rPr>
        <w:t>Documentary Magazine</w:t>
      </w:r>
      <w:r w:rsidRPr="00B57B08">
        <w:rPr>
          <w:sz w:val="24"/>
        </w:rPr>
        <w:t xml:space="preserve"> or the D-Word. </w:t>
      </w:r>
    </w:p>
    <w:p w:rsidR="00B57B08" w:rsidRPr="00B57B08" w:rsidRDefault="00B57B08" w:rsidP="00B57B08">
      <w:pPr>
        <w:pStyle w:val="ListParagraph"/>
        <w:rPr>
          <w:sz w:val="24"/>
        </w:rPr>
      </w:pPr>
    </w:p>
    <w:p w:rsidR="009E6FB1" w:rsidRDefault="009E6FB1" w:rsidP="009E6FB1">
      <w:pPr>
        <w:pStyle w:val="ListParagraph"/>
        <w:numPr>
          <w:ilvl w:val="0"/>
          <w:numId w:val="6"/>
        </w:numPr>
        <w:rPr>
          <w:sz w:val="24"/>
        </w:rPr>
      </w:pPr>
      <w:r w:rsidRPr="00B57B08">
        <w:rPr>
          <w:sz w:val="24"/>
        </w:rPr>
        <w:t>Use note takers as well as a facilitator throughout the day to document the findings. Utilize the provided worksheets to gather input from participants that will inform the summary.</w:t>
      </w:r>
    </w:p>
    <w:p w:rsidR="00B57B08" w:rsidRPr="00B57B08" w:rsidRDefault="00B57B08" w:rsidP="00B57B08">
      <w:pPr>
        <w:pStyle w:val="ListParagraph"/>
        <w:rPr>
          <w:sz w:val="24"/>
        </w:rPr>
      </w:pPr>
    </w:p>
    <w:p w:rsidR="009E6FB1" w:rsidRDefault="009E6FB1" w:rsidP="009E6FB1">
      <w:pPr>
        <w:pStyle w:val="ListParagraph"/>
        <w:numPr>
          <w:ilvl w:val="0"/>
          <w:numId w:val="6"/>
        </w:numPr>
        <w:rPr>
          <w:sz w:val="24"/>
        </w:rPr>
      </w:pPr>
      <w:r w:rsidRPr="00B57B08">
        <w:rPr>
          <w:sz w:val="24"/>
        </w:rPr>
        <w:t xml:space="preserve">After the convening, the facilitator may compile the findings and summarize the most relevant issues as well as suggested action items. </w:t>
      </w:r>
    </w:p>
    <w:p w:rsidR="00B57B08" w:rsidRPr="00B57B08" w:rsidRDefault="00B57B08" w:rsidP="00B57B08">
      <w:pPr>
        <w:pStyle w:val="ListParagraph"/>
        <w:rPr>
          <w:sz w:val="24"/>
        </w:rPr>
      </w:pPr>
    </w:p>
    <w:p w:rsidR="00B25727" w:rsidRPr="00B57B08" w:rsidRDefault="009E6FB1" w:rsidP="00B25727">
      <w:pPr>
        <w:pStyle w:val="ListParagraph"/>
        <w:numPr>
          <w:ilvl w:val="0"/>
          <w:numId w:val="6"/>
        </w:numPr>
        <w:rPr>
          <w:sz w:val="24"/>
        </w:rPr>
      </w:pPr>
      <w:r w:rsidRPr="00B57B08">
        <w:rPr>
          <w:sz w:val="24"/>
        </w:rPr>
        <w:t xml:space="preserve">Keep in touch with your participants! We recommend starting a listserv, scheduling follow-up conversations about next steps, and providing additional opportunities for participants to network. </w:t>
      </w:r>
    </w:p>
    <w:p w:rsidR="00B57B08" w:rsidRDefault="00B57B08">
      <w:r>
        <w:br w:type="page"/>
      </w:r>
    </w:p>
    <w:p w:rsidR="00523427" w:rsidRPr="00523427" w:rsidRDefault="00ED1172" w:rsidP="00523427">
      <w:pPr>
        <w:pStyle w:val="Heading1"/>
        <w:jc w:val="center"/>
        <w:rPr>
          <w:rFonts w:ascii="Arial" w:hAnsi="Arial" w:cs="Arial"/>
          <w:b/>
          <w:i/>
          <w:sz w:val="28"/>
          <w:szCs w:val="28"/>
        </w:rPr>
      </w:pPr>
      <w:r w:rsidRPr="00523427">
        <w:rPr>
          <w:rFonts w:ascii="Arial" w:hAnsi="Arial" w:cs="Arial"/>
          <w:b/>
          <w:i/>
          <w:sz w:val="28"/>
          <w:szCs w:val="28"/>
        </w:rPr>
        <w:lastRenderedPageBreak/>
        <w:t>SAMPLE AGENDA</w:t>
      </w:r>
    </w:p>
    <w:p w:rsidR="00523427" w:rsidRPr="00523427" w:rsidRDefault="00523427" w:rsidP="00523427"/>
    <w:p w:rsidR="009E6FB1" w:rsidRPr="00ED1172" w:rsidRDefault="009E6FB1" w:rsidP="00B57B08">
      <w:pPr>
        <w:jc w:val="center"/>
        <w:rPr>
          <w:i/>
          <w:u w:val="single"/>
        </w:rPr>
      </w:pPr>
      <w:r w:rsidRPr="00ED1172">
        <w:rPr>
          <w:b/>
          <w:bCs/>
          <w:i/>
          <w:sz w:val="28"/>
          <w:szCs w:val="26"/>
          <w:u w:val="single"/>
        </w:rPr>
        <w:t>Summit on Documentary Career Sustainability in the (insert region)</w:t>
      </w:r>
    </w:p>
    <w:p w:rsidR="009E6FB1" w:rsidRDefault="009E6FB1" w:rsidP="009E6FB1">
      <w:pPr>
        <w:pStyle w:val="BodyText"/>
        <w:kinsoku w:val="0"/>
        <w:overflowPunct w:val="0"/>
        <w:spacing w:before="81"/>
        <w:jc w:val="center"/>
        <w:rPr>
          <w:color w:val="222222"/>
          <w:w w:val="105"/>
          <w:sz w:val="21"/>
          <w:szCs w:val="21"/>
        </w:rPr>
      </w:pPr>
      <w:r>
        <w:rPr>
          <w:color w:val="222222"/>
          <w:w w:val="105"/>
          <w:sz w:val="21"/>
          <w:szCs w:val="21"/>
        </w:rPr>
        <w:t>Location, Date</w:t>
      </w:r>
    </w:p>
    <w:p w:rsidR="009E6FB1" w:rsidRPr="006B24E4" w:rsidRDefault="009E6FB1" w:rsidP="009E6FB1">
      <w:pPr>
        <w:rPr>
          <w:sz w:val="8"/>
        </w:rPr>
      </w:pPr>
    </w:p>
    <w:tbl>
      <w:tblPr>
        <w:tblStyle w:val="TableGrid"/>
        <w:tblW w:w="0" w:type="auto"/>
        <w:tblLook w:val="04A0" w:firstRow="1" w:lastRow="0" w:firstColumn="1" w:lastColumn="0" w:noHBand="0" w:noVBand="1"/>
      </w:tblPr>
      <w:tblGrid>
        <w:gridCol w:w="1795"/>
        <w:gridCol w:w="5580"/>
        <w:gridCol w:w="1975"/>
      </w:tblGrid>
      <w:tr w:rsidR="009E6FB1" w:rsidTr="00B656FF">
        <w:tc>
          <w:tcPr>
            <w:tcW w:w="1795" w:type="dxa"/>
          </w:tcPr>
          <w:p w:rsidR="009E6FB1" w:rsidRDefault="009E6FB1" w:rsidP="00B656FF">
            <w:r>
              <w:t>12:00 – 12:45pm</w:t>
            </w:r>
          </w:p>
        </w:tc>
        <w:tc>
          <w:tcPr>
            <w:tcW w:w="5580" w:type="dxa"/>
            <w:vAlign w:val="center"/>
          </w:tcPr>
          <w:p w:rsidR="009E6FB1" w:rsidRPr="002D24A9" w:rsidRDefault="009E6FB1" w:rsidP="00B656FF">
            <w:pPr>
              <w:rPr>
                <w:b/>
              </w:rPr>
            </w:pPr>
            <w:r w:rsidRPr="002D24A9">
              <w:rPr>
                <w:b/>
              </w:rPr>
              <w:t>Lunch and Opening Remarks:</w:t>
            </w:r>
          </w:p>
          <w:p w:rsidR="009E6FB1" w:rsidRPr="002D24A9" w:rsidRDefault="009E6FB1" w:rsidP="00B656FF">
            <w:pPr>
              <w:rPr>
                <w:i/>
              </w:rPr>
            </w:pPr>
            <w:r w:rsidRPr="002D24A9">
              <w:rPr>
                <w:i/>
              </w:rPr>
              <w:t>Two keynote speakers introduce the national conversation around documentary sustainability and what it means for you in your region. Can use sample PowerPoint presentation and ice breaker exercises to see who is in the room.</w:t>
            </w:r>
          </w:p>
          <w:p w:rsidR="009E6FB1" w:rsidRDefault="009E6FB1" w:rsidP="00B656FF"/>
        </w:tc>
        <w:tc>
          <w:tcPr>
            <w:tcW w:w="1975" w:type="dxa"/>
          </w:tcPr>
          <w:p w:rsidR="009E6FB1" w:rsidRDefault="009E6FB1" w:rsidP="00B656FF">
            <w:pPr>
              <w:pStyle w:val="TableParagraph"/>
              <w:kinsoku w:val="0"/>
              <w:overflowPunct w:val="0"/>
              <w:spacing w:before="1" w:line="252" w:lineRule="auto"/>
              <w:ind w:left="0" w:right="461"/>
              <w:rPr>
                <w:rFonts w:ascii="Corbel" w:hAnsi="Corbel" w:cs="Corbel"/>
                <w:w w:val="105"/>
                <w:sz w:val="21"/>
                <w:szCs w:val="21"/>
              </w:rPr>
            </w:pPr>
            <w:r>
              <w:rPr>
                <w:rFonts w:ascii="Corbel" w:hAnsi="Corbel" w:cs="Corbel"/>
                <w:w w:val="105"/>
                <w:sz w:val="21"/>
                <w:szCs w:val="21"/>
              </w:rPr>
              <w:t>Speaker #1</w:t>
            </w:r>
          </w:p>
          <w:p w:rsidR="009E6FB1" w:rsidRDefault="009E6FB1" w:rsidP="00B656FF">
            <w:pPr>
              <w:pStyle w:val="TableParagraph"/>
              <w:kinsoku w:val="0"/>
              <w:overflowPunct w:val="0"/>
              <w:spacing w:before="1" w:line="252" w:lineRule="auto"/>
              <w:ind w:left="0" w:right="461"/>
              <w:rPr>
                <w:rFonts w:ascii="Corbel" w:hAnsi="Corbel" w:cs="Corbel"/>
                <w:w w:val="105"/>
                <w:sz w:val="21"/>
                <w:szCs w:val="21"/>
              </w:rPr>
            </w:pPr>
            <w:r>
              <w:rPr>
                <w:rFonts w:ascii="Corbel" w:hAnsi="Corbel" w:cs="Corbel"/>
                <w:w w:val="105"/>
                <w:sz w:val="21"/>
                <w:szCs w:val="21"/>
              </w:rPr>
              <w:t>Organization</w:t>
            </w:r>
          </w:p>
          <w:p w:rsidR="009E6FB1" w:rsidRDefault="009E6FB1" w:rsidP="00B656FF">
            <w:pPr>
              <w:pStyle w:val="TableParagraph"/>
              <w:kinsoku w:val="0"/>
              <w:overflowPunct w:val="0"/>
              <w:spacing w:before="1" w:line="252" w:lineRule="auto"/>
              <w:ind w:left="105" w:right="461"/>
              <w:rPr>
                <w:rFonts w:ascii="Corbel" w:hAnsi="Corbel" w:cs="Corbel"/>
                <w:w w:val="105"/>
                <w:sz w:val="21"/>
                <w:szCs w:val="21"/>
              </w:rPr>
            </w:pPr>
          </w:p>
          <w:p w:rsidR="009E6FB1" w:rsidRDefault="009E6FB1" w:rsidP="00B656FF">
            <w:pPr>
              <w:pStyle w:val="TableParagraph"/>
              <w:kinsoku w:val="0"/>
              <w:overflowPunct w:val="0"/>
              <w:spacing w:before="1" w:line="252" w:lineRule="auto"/>
              <w:ind w:left="0" w:right="461"/>
              <w:rPr>
                <w:rFonts w:ascii="Corbel" w:hAnsi="Corbel" w:cs="Corbel"/>
                <w:w w:val="105"/>
                <w:sz w:val="21"/>
                <w:szCs w:val="21"/>
              </w:rPr>
            </w:pPr>
            <w:r>
              <w:rPr>
                <w:rFonts w:ascii="Corbel" w:hAnsi="Corbel" w:cs="Corbel"/>
                <w:w w:val="105"/>
                <w:sz w:val="21"/>
                <w:szCs w:val="21"/>
              </w:rPr>
              <w:t>Speaker #2</w:t>
            </w:r>
          </w:p>
          <w:p w:rsidR="009E6FB1" w:rsidRPr="002D24A9" w:rsidRDefault="009E6FB1" w:rsidP="00B656FF">
            <w:pPr>
              <w:pStyle w:val="TableParagraph"/>
              <w:kinsoku w:val="0"/>
              <w:overflowPunct w:val="0"/>
              <w:spacing w:before="1" w:line="252" w:lineRule="auto"/>
              <w:ind w:left="0" w:right="461"/>
              <w:rPr>
                <w:rFonts w:ascii="Corbel" w:hAnsi="Corbel" w:cs="Corbel"/>
                <w:w w:val="105"/>
                <w:sz w:val="21"/>
                <w:szCs w:val="21"/>
              </w:rPr>
            </w:pPr>
            <w:r>
              <w:rPr>
                <w:rFonts w:ascii="Corbel" w:hAnsi="Corbel" w:cs="Corbel"/>
                <w:w w:val="105"/>
                <w:sz w:val="21"/>
                <w:szCs w:val="21"/>
              </w:rPr>
              <w:t>Organization</w:t>
            </w:r>
          </w:p>
          <w:p w:rsidR="009E6FB1" w:rsidRPr="002D24A9" w:rsidRDefault="009E6FB1" w:rsidP="00B656FF">
            <w:pPr>
              <w:jc w:val="center"/>
            </w:pPr>
          </w:p>
        </w:tc>
      </w:tr>
      <w:tr w:rsidR="009E6FB1" w:rsidTr="00B656FF">
        <w:tc>
          <w:tcPr>
            <w:tcW w:w="1795" w:type="dxa"/>
          </w:tcPr>
          <w:p w:rsidR="009E6FB1" w:rsidRDefault="009E6FB1" w:rsidP="00B656FF">
            <w:r>
              <w:t>12:45 – 1:15pm</w:t>
            </w:r>
          </w:p>
        </w:tc>
        <w:tc>
          <w:tcPr>
            <w:tcW w:w="5580" w:type="dxa"/>
            <w:vAlign w:val="center"/>
          </w:tcPr>
          <w:p w:rsidR="009E6FB1" w:rsidRPr="002D24A9" w:rsidRDefault="009E6FB1" w:rsidP="00B656FF">
            <w:pPr>
              <w:rPr>
                <w:b/>
              </w:rPr>
            </w:pPr>
            <w:r w:rsidRPr="002D24A9">
              <w:rPr>
                <w:b/>
              </w:rPr>
              <w:t>Additional Introduction from Host Organization</w:t>
            </w:r>
          </w:p>
          <w:p w:rsidR="009E6FB1" w:rsidRDefault="009E6FB1" w:rsidP="00B656FF">
            <w:pPr>
              <w:rPr>
                <w:i/>
              </w:rPr>
            </w:pPr>
            <w:r w:rsidRPr="002D24A9">
              <w:rPr>
                <w:i/>
              </w:rPr>
              <w:t>If this convening intersects with a concurrent festival or conference, can have representative from host organization address the room and their role in this conversation around sustainability, specific to the region.</w:t>
            </w:r>
          </w:p>
          <w:p w:rsidR="009E6FB1" w:rsidRPr="002D24A9" w:rsidRDefault="009E6FB1" w:rsidP="00B656FF">
            <w:pPr>
              <w:rPr>
                <w:i/>
              </w:rPr>
            </w:pPr>
          </w:p>
        </w:tc>
        <w:tc>
          <w:tcPr>
            <w:tcW w:w="1975" w:type="dxa"/>
          </w:tcPr>
          <w:p w:rsidR="009E6FB1" w:rsidRDefault="009E6FB1" w:rsidP="00B656FF"/>
        </w:tc>
      </w:tr>
      <w:tr w:rsidR="009E6FB1" w:rsidTr="00B656FF">
        <w:tc>
          <w:tcPr>
            <w:tcW w:w="1795" w:type="dxa"/>
          </w:tcPr>
          <w:p w:rsidR="009E6FB1" w:rsidRDefault="009E6FB1" w:rsidP="00B656FF">
            <w:r>
              <w:t>1:15-2:00pm</w:t>
            </w:r>
          </w:p>
        </w:tc>
        <w:tc>
          <w:tcPr>
            <w:tcW w:w="5580" w:type="dxa"/>
            <w:vAlign w:val="center"/>
          </w:tcPr>
          <w:p w:rsidR="009E6FB1" w:rsidRPr="002D24A9" w:rsidRDefault="009E6FB1" w:rsidP="00B656FF">
            <w:pPr>
              <w:rPr>
                <w:b/>
              </w:rPr>
            </w:pPr>
            <w:r w:rsidRPr="002D24A9">
              <w:rPr>
                <w:b/>
              </w:rPr>
              <w:t>Panel Conversation around Budget Transparency</w:t>
            </w:r>
          </w:p>
          <w:p w:rsidR="009E6FB1" w:rsidRDefault="009E6FB1" w:rsidP="00B656FF">
            <w:pPr>
              <w:rPr>
                <w:i/>
              </w:rPr>
            </w:pPr>
            <w:r w:rsidRPr="006B24E4">
              <w:rPr>
                <w:i/>
              </w:rPr>
              <w:t xml:space="preserve">The purpose is to </w:t>
            </w:r>
            <w:r w:rsidRPr="006B24E4">
              <w:rPr>
                <w:rFonts w:ascii="Corbel" w:hAnsi="Corbel" w:cs="Corbel"/>
                <w:i/>
                <w:w w:val="105"/>
                <w:sz w:val="21"/>
                <w:szCs w:val="21"/>
              </w:rPr>
              <w:t xml:space="preserve">share and discuss concrete numbers about creating and distributing documentary work. Suggested panel format </w:t>
            </w:r>
            <w:r w:rsidRPr="006B24E4">
              <w:rPr>
                <w:i/>
              </w:rPr>
              <w:t>is to include 1-2 filmmaker perspective and 1-2 representatives from local, regional or national affiliate or service organization.</w:t>
            </w:r>
          </w:p>
          <w:p w:rsidR="009E6FB1" w:rsidRPr="006B24E4" w:rsidRDefault="009E6FB1" w:rsidP="00B656FF">
            <w:pPr>
              <w:rPr>
                <w:i/>
              </w:rPr>
            </w:pPr>
          </w:p>
        </w:tc>
        <w:tc>
          <w:tcPr>
            <w:tcW w:w="1975" w:type="dxa"/>
          </w:tcPr>
          <w:p w:rsidR="009E6FB1" w:rsidRDefault="009E6FB1" w:rsidP="00B656FF">
            <w:r>
              <w:t>1-2 filmmakers</w:t>
            </w:r>
          </w:p>
          <w:p w:rsidR="009E6FB1" w:rsidRDefault="009E6FB1" w:rsidP="00B656FF">
            <w:r>
              <w:t>1-2 Org Reps</w:t>
            </w:r>
          </w:p>
        </w:tc>
      </w:tr>
      <w:tr w:rsidR="009E6FB1" w:rsidTr="00B656FF">
        <w:tc>
          <w:tcPr>
            <w:tcW w:w="1795" w:type="dxa"/>
          </w:tcPr>
          <w:p w:rsidR="009E6FB1" w:rsidRDefault="009E6FB1" w:rsidP="00B656FF">
            <w:r>
              <w:t>2:00-3:00pm</w:t>
            </w:r>
          </w:p>
        </w:tc>
        <w:tc>
          <w:tcPr>
            <w:tcW w:w="5580" w:type="dxa"/>
            <w:vAlign w:val="center"/>
          </w:tcPr>
          <w:p w:rsidR="009E6FB1" w:rsidRDefault="009E6FB1" w:rsidP="00B656FF">
            <w:pPr>
              <w:pStyle w:val="TableParagraph"/>
              <w:kinsoku w:val="0"/>
              <w:overflowPunct w:val="0"/>
              <w:spacing w:before="6" w:line="240" w:lineRule="auto"/>
              <w:rPr>
                <w:rFonts w:ascii="Corbel" w:hAnsi="Corbel" w:cs="Corbel"/>
                <w:b/>
                <w:bCs/>
                <w:w w:val="105"/>
                <w:sz w:val="21"/>
                <w:szCs w:val="21"/>
              </w:rPr>
            </w:pPr>
            <w:r>
              <w:rPr>
                <w:rFonts w:ascii="Corbel" w:hAnsi="Corbel" w:cs="Corbel"/>
                <w:b/>
                <w:bCs/>
                <w:w w:val="105"/>
                <w:sz w:val="21"/>
                <w:szCs w:val="21"/>
              </w:rPr>
              <w:t>Breakout Sessions – Mapping Asset &amp; Needs</w:t>
            </w:r>
          </w:p>
          <w:p w:rsidR="009E6FB1" w:rsidRDefault="009E6FB1" w:rsidP="00B656FF">
            <w:pPr>
              <w:pStyle w:val="TableParagraph"/>
              <w:kinsoku w:val="0"/>
              <w:overflowPunct w:val="0"/>
              <w:spacing w:before="12" w:line="252" w:lineRule="auto"/>
              <w:ind w:right="52"/>
              <w:rPr>
                <w:rFonts w:ascii="Corbel" w:hAnsi="Corbel" w:cs="Corbel"/>
                <w:i/>
                <w:w w:val="105"/>
                <w:sz w:val="21"/>
                <w:szCs w:val="21"/>
              </w:rPr>
            </w:pPr>
            <w:r w:rsidRPr="003C326E">
              <w:rPr>
                <w:rFonts w:ascii="Corbel" w:hAnsi="Corbel" w:cs="Corbel"/>
                <w:i/>
                <w:w w:val="105"/>
                <w:sz w:val="21"/>
                <w:szCs w:val="21"/>
              </w:rPr>
              <w:t xml:space="preserve">Small groups organized by like entities (institutions and makers). Identify existing resources and remaining needs experienced by both media makers and institutions within the current ecosystem. Worksheets provided, with further instruction for </w:t>
            </w:r>
            <w:r>
              <w:rPr>
                <w:rFonts w:ascii="Corbel" w:hAnsi="Corbel" w:cs="Corbel"/>
                <w:i/>
                <w:w w:val="105"/>
                <w:sz w:val="21"/>
                <w:szCs w:val="21"/>
              </w:rPr>
              <w:t xml:space="preserve">organizing </w:t>
            </w:r>
            <w:r w:rsidRPr="003C326E">
              <w:rPr>
                <w:rFonts w:ascii="Corbel" w:hAnsi="Corbel" w:cs="Corbel"/>
                <w:i/>
                <w:w w:val="105"/>
                <w:sz w:val="21"/>
                <w:szCs w:val="21"/>
              </w:rPr>
              <w:t>moderating breakout sessions, to be collected by discussion moderators for later analysis.</w:t>
            </w:r>
          </w:p>
          <w:p w:rsidR="009E6FB1" w:rsidRPr="003C326E" w:rsidRDefault="009E6FB1" w:rsidP="00B656FF">
            <w:pPr>
              <w:pStyle w:val="TableParagraph"/>
              <w:kinsoku w:val="0"/>
              <w:overflowPunct w:val="0"/>
              <w:spacing w:before="12" w:line="252" w:lineRule="auto"/>
              <w:ind w:right="52"/>
              <w:rPr>
                <w:rFonts w:ascii="Corbel" w:hAnsi="Corbel" w:cs="Corbel"/>
                <w:i/>
                <w:w w:val="105"/>
                <w:sz w:val="21"/>
                <w:szCs w:val="21"/>
              </w:rPr>
            </w:pPr>
          </w:p>
        </w:tc>
        <w:tc>
          <w:tcPr>
            <w:tcW w:w="1975" w:type="dxa"/>
          </w:tcPr>
          <w:p w:rsidR="009E6FB1" w:rsidRDefault="009E6FB1" w:rsidP="00B656FF">
            <w:r>
              <w:t>Identify group moderators and assign groups in advance</w:t>
            </w:r>
          </w:p>
        </w:tc>
      </w:tr>
      <w:tr w:rsidR="009E6FB1" w:rsidTr="00B656FF">
        <w:tc>
          <w:tcPr>
            <w:tcW w:w="1795" w:type="dxa"/>
          </w:tcPr>
          <w:p w:rsidR="009E6FB1" w:rsidRDefault="009E6FB1" w:rsidP="00B656FF">
            <w:r>
              <w:t>3:00-4:00pm</w:t>
            </w:r>
          </w:p>
        </w:tc>
        <w:tc>
          <w:tcPr>
            <w:tcW w:w="5580" w:type="dxa"/>
            <w:vAlign w:val="center"/>
          </w:tcPr>
          <w:p w:rsidR="009E6FB1" w:rsidRDefault="009E6FB1" w:rsidP="00B656FF">
            <w:pPr>
              <w:pStyle w:val="TableParagraph"/>
              <w:kinsoku w:val="0"/>
              <w:overflowPunct w:val="0"/>
              <w:spacing w:before="6" w:line="240" w:lineRule="auto"/>
              <w:rPr>
                <w:rFonts w:ascii="Corbel" w:hAnsi="Corbel" w:cs="Corbel"/>
                <w:b/>
                <w:bCs/>
                <w:w w:val="105"/>
                <w:sz w:val="21"/>
                <w:szCs w:val="21"/>
              </w:rPr>
            </w:pPr>
            <w:r>
              <w:rPr>
                <w:rFonts w:ascii="Corbel" w:hAnsi="Corbel" w:cs="Corbel"/>
                <w:b/>
                <w:bCs/>
                <w:w w:val="105"/>
                <w:sz w:val="21"/>
                <w:szCs w:val="21"/>
              </w:rPr>
              <w:t>Breakout groups report back and discuss</w:t>
            </w:r>
          </w:p>
          <w:p w:rsidR="009E6FB1" w:rsidRDefault="009E6FB1" w:rsidP="00B656FF">
            <w:pPr>
              <w:pStyle w:val="TableParagraph"/>
              <w:kinsoku w:val="0"/>
              <w:overflowPunct w:val="0"/>
              <w:spacing w:before="6" w:line="240" w:lineRule="auto"/>
              <w:rPr>
                <w:rFonts w:ascii="Corbel" w:hAnsi="Corbel" w:cs="Corbel"/>
                <w:bCs/>
                <w:i/>
                <w:w w:val="105"/>
                <w:sz w:val="21"/>
                <w:szCs w:val="21"/>
              </w:rPr>
            </w:pPr>
            <w:r w:rsidRPr="002B2866">
              <w:rPr>
                <w:rFonts w:ascii="Corbel" w:hAnsi="Corbel" w:cs="Corbel"/>
                <w:bCs/>
                <w:i/>
                <w:w w:val="105"/>
                <w:sz w:val="21"/>
                <w:szCs w:val="21"/>
              </w:rPr>
              <w:t>Moderators summarize key findings and recommendations, leading to conversations as a group about next steps/tangible action items.</w:t>
            </w:r>
            <w:r>
              <w:rPr>
                <w:rFonts w:ascii="Corbel" w:hAnsi="Corbel" w:cs="Corbel"/>
                <w:bCs/>
                <w:i/>
                <w:w w:val="105"/>
                <w:sz w:val="21"/>
                <w:szCs w:val="21"/>
              </w:rPr>
              <w:t xml:space="preserve"> Having a note taker is encouraged, to be collected for later analysis.</w:t>
            </w:r>
          </w:p>
          <w:p w:rsidR="009E6FB1" w:rsidRPr="002B2866" w:rsidRDefault="009E6FB1" w:rsidP="00B656FF">
            <w:pPr>
              <w:pStyle w:val="TableParagraph"/>
              <w:kinsoku w:val="0"/>
              <w:overflowPunct w:val="0"/>
              <w:spacing w:before="6" w:line="240" w:lineRule="auto"/>
              <w:rPr>
                <w:rFonts w:ascii="Corbel" w:hAnsi="Corbel" w:cs="Corbel"/>
                <w:bCs/>
                <w:i/>
                <w:w w:val="105"/>
                <w:sz w:val="21"/>
                <w:szCs w:val="21"/>
              </w:rPr>
            </w:pPr>
          </w:p>
        </w:tc>
        <w:tc>
          <w:tcPr>
            <w:tcW w:w="1975" w:type="dxa"/>
          </w:tcPr>
          <w:p w:rsidR="009E6FB1" w:rsidRDefault="009E6FB1" w:rsidP="00B656FF">
            <w:r>
              <w:t>Moderators report on behalf of their group</w:t>
            </w:r>
          </w:p>
        </w:tc>
      </w:tr>
      <w:tr w:rsidR="009E6FB1" w:rsidTr="00B656FF">
        <w:tc>
          <w:tcPr>
            <w:tcW w:w="1795" w:type="dxa"/>
          </w:tcPr>
          <w:p w:rsidR="009E6FB1" w:rsidRDefault="009E6FB1" w:rsidP="00B656FF">
            <w:r>
              <w:t>4:00-5:00pm</w:t>
            </w:r>
          </w:p>
        </w:tc>
        <w:tc>
          <w:tcPr>
            <w:tcW w:w="5580" w:type="dxa"/>
            <w:vAlign w:val="center"/>
          </w:tcPr>
          <w:p w:rsidR="009E6FB1" w:rsidRDefault="009E6FB1" w:rsidP="00B656FF">
            <w:pPr>
              <w:pStyle w:val="TableParagraph"/>
              <w:kinsoku w:val="0"/>
              <w:overflowPunct w:val="0"/>
              <w:spacing w:before="6" w:line="240" w:lineRule="auto"/>
              <w:ind w:left="105"/>
              <w:rPr>
                <w:rFonts w:ascii="Corbel" w:hAnsi="Corbel" w:cs="Corbel"/>
                <w:b/>
                <w:bCs/>
                <w:w w:val="105"/>
                <w:sz w:val="21"/>
                <w:szCs w:val="21"/>
              </w:rPr>
            </w:pPr>
            <w:r>
              <w:rPr>
                <w:rFonts w:ascii="Corbel" w:hAnsi="Corbel" w:cs="Corbel"/>
                <w:b/>
                <w:bCs/>
                <w:w w:val="105"/>
                <w:sz w:val="21"/>
                <w:szCs w:val="21"/>
              </w:rPr>
              <w:t>Debriefing and unstructured networking to continue conversations</w:t>
            </w:r>
          </w:p>
          <w:p w:rsidR="009E6FB1" w:rsidRDefault="009E6FB1" w:rsidP="00B656FF">
            <w:pPr>
              <w:pStyle w:val="TableParagraph"/>
              <w:kinsoku w:val="0"/>
              <w:overflowPunct w:val="0"/>
              <w:spacing w:before="6" w:line="240" w:lineRule="auto"/>
              <w:ind w:left="105"/>
              <w:rPr>
                <w:rFonts w:ascii="Corbel" w:hAnsi="Corbel" w:cs="Corbel"/>
                <w:b/>
                <w:bCs/>
                <w:w w:val="105"/>
                <w:sz w:val="21"/>
                <w:szCs w:val="21"/>
              </w:rPr>
            </w:pPr>
          </w:p>
        </w:tc>
        <w:tc>
          <w:tcPr>
            <w:tcW w:w="1975" w:type="dxa"/>
          </w:tcPr>
          <w:p w:rsidR="009E6FB1" w:rsidRDefault="009E6FB1" w:rsidP="00B656FF"/>
        </w:tc>
      </w:tr>
      <w:tr w:rsidR="009E6FB1" w:rsidTr="00B656FF">
        <w:tc>
          <w:tcPr>
            <w:tcW w:w="1795" w:type="dxa"/>
          </w:tcPr>
          <w:p w:rsidR="009E6FB1" w:rsidRDefault="009E6FB1" w:rsidP="00B656FF">
            <w:r>
              <w:t>5:00-5:30pm</w:t>
            </w:r>
          </w:p>
        </w:tc>
        <w:tc>
          <w:tcPr>
            <w:tcW w:w="5580" w:type="dxa"/>
            <w:vAlign w:val="center"/>
          </w:tcPr>
          <w:p w:rsidR="009E6FB1" w:rsidRDefault="009E6FB1" w:rsidP="00B656FF">
            <w:pPr>
              <w:pStyle w:val="TableParagraph"/>
              <w:kinsoku w:val="0"/>
              <w:overflowPunct w:val="0"/>
              <w:spacing w:before="6" w:line="240" w:lineRule="auto"/>
              <w:ind w:left="105"/>
              <w:rPr>
                <w:rFonts w:ascii="Corbel" w:hAnsi="Corbel" w:cs="Corbel"/>
                <w:b/>
                <w:bCs/>
                <w:w w:val="105"/>
                <w:sz w:val="21"/>
                <w:szCs w:val="21"/>
              </w:rPr>
            </w:pPr>
            <w:r>
              <w:rPr>
                <w:rFonts w:ascii="Corbel" w:hAnsi="Corbel" w:cs="Corbel"/>
                <w:b/>
                <w:bCs/>
                <w:w w:val="105"/>
                <w:sz w:val="21"/>
                <w:szCs w:val="21"/>
              </w:rPr>
              <w:t>Closing notes</w:t>
            </w:r>
          </w:p>
        </w:tc>
        <w:tc>
          <w:tcPr>
            <w:tcW w:w="1975" w:type="dxa"/>
          </w:tcPr>
          <w:p w:rsidR="009E6FB1" w:rsidRDefault="009E6FB1" w:rsidP="00B656FF">
            <w:r>
              <w:t>Speakers from Opening Remarks</w:t>
            </w:r>
          </w:p>
        </w:tc>
      </w:tr>
    </w:tbl>
    <w:p w:rsidR="009E6FB1" w:rsidRDefault="009E6FB1" w:rsidP="009E6FB1"/>
    <w:p w:rsidR="009E6FB1" w:rsidRDefault="009E6FB1" w:rsidP="009E6FB1">
      <w:pPr>
        <w:rPr>
          <w:b/>
        </w:rPr>
      </w:pPr>
      <w:r>
        <w:rPr>
          <w:b/>
        </w:rPr>
        <w:br w:type="page"/>
      </w:r>
    </w:p>
    <w:p w:rsidR="009E6FB1" w:rsidRPr="00523427" w:rsidRDefault="00ED1172" w:rsidP="00523427">
      <w:pPr>
        <w:pStyle w:val="Heading1"/>
        <w:rPr>
          <w:rFonts w:ascii="Arial" w:hAnsi="Arial" w:cs="Arial"/>
          <w:b/>
          <w:i/>
          <w:sz w:val="28"/>
          <w:szCs w:val="28"/>
        </w:rPr>
      </w:pPr>
      <w:r w:rsidRPr="00523427">
        <w:rPr>
          <w:rFonts w:ascii="Arial" w:hAnsi="Arial" w:cs="Arial"/>
          <w:b/>
          <w:i/>
          <w:sz w:val="28"/>
          <w:szCs w:val="28"/>
        </w:rPr>
        <w:lastRenderedPageBreak/>
        <w:t>Save the Date – Sample Email Invitation</w:t>
      </w:r>
    </w:p>
    <w:p w:rsidR="009E6FB1" w:rsidRPr="00225DF1" w:rsidRDefault="009E6FB1" w:rsidP="009E6FB1">
      <w:pPr>
        <w:rPr>
          <w:b/>
          <w:sz w:val="24"/>
          <w:szCs w:val="24"/>
        </w:rPr>
      </w:pPr>
    </w:p>
    <w:p w:rsidR="009E6FB1" w:rsidRPr="00225DF1" w:rsidRDefault="009E6FB1" w:rsidP="009E6FB1">
      <w:pPr>
        <w:rPr>
          <w:sz w:val="24"/>
          <w:szCs w:val="24"/>
        </w:rPr>
      </w:pPr>
      <w:r w:rsidRPr="00225DF1">
        <w:rPr>
          <w:sz w:val="24"/>
          <w:szCs w:val="24"/>
        </w:rPr>
        <w:t xml:space="preserve">Dear </w:t>
      </w:r>
      <w:r w:rsidRPr="00225DF1">
        <w:rPr>
          <w:b/>
          <w:sz w:val="24"/>
          <w:szCs w:val="24"/>
        </w:rPr>
        <w:t>[---]</w:t>
      </w:r>
      <w:r w:rsidRPr="00225DF1">
        <w:rPr>
          <w:sz w:val="24"/>
          <w:szCs w:val="24"/>
        </w:rPr>
        <w:t>,</w:t>
      </w:r>
    </w:p>
    <w:p w:rsidR="009E6FB1" w:rsidRPr="00225DF1" w:rsidRDefault="009E6FB1" w:rsidP="009E6FB1">
      <w:pPr>
        <w:rPr>
          <w:sz w:val="24"/>
          <w:szCs w:val="24"/>
        </w:rPr>
      </w:pPr>
    </w:p>
    <w:p w:rsidR="009E6FB1" w:rsidRPr="00225DF1" w:rsidRDefault="009E6FB1" w:rsidP="009E6FB1">
      <w:pPr>
        <w:rPr>
          <w:sz w:val="24"/>
          <w:szCs w:val="24"/>
        </w:rPr>
      </w:pPr>
      <w:r w:rsidRPr="00225DF1">
        <w:rPr>
          <w:sz w:val="24"/>
          <w:szCs w:val="24"/>
        </w:rPr>
        <w:t xml:space="preserve">As a critical member of the documentary film community, you are invited to join colleagues and industry leaders for </w:t>
      </w:r>
      <w:r w:rsidRPr="00225DF1">
        <w:rPr>
          <w:b/>
          <w:color w:val="222222"/>
          <w:sz w:val="24"/>
          <w:szCs w:val="24"/>
        </w:rPr>
        <w:t>[Documentary Career Sustainability Summit Title]</w:t>
      </w:r>
      <w:r w:rsidRPr="00225DF1">
        <w:rPr>
          <w:sz w:val="24"/>
          <w:szCs w:val="24"/>
        </w:rPr>
        <w:t xml:space="preserve">. The event is being organized through a partnership between the </w:t>
      </w:r>
      <w:r w:rsidRPr="00225DF1">
        <w:rPr>
          <w:b/>
          <w:sz w:val="24"/>
          <w:szCs w:val="24"/>
        </w:rPr>
        <w:t>[Partners]</w:t>
      </w:r>
      <w:r w:rsidRPr="00225DF1">
        <w:rPr>
          <w:sz w:val="24"/>
          <w:szCs w:val="24"/>
        </w:rPr>
        <w:t xml:space="preserve"> and moderated by </w:t>
      </w:r>
      <w:r w:rsidRPr="00225DF1">
        <w:rPr>
          <w:b/>
          <w:sz w:val="24"/>
          <w:szCs w:val="24"/>
        </w:rPr>
        <w:t>[Moderators]</w:t>
      </w:r>
      <w:r w:rsidRPr="00225DF1">
        <w:rPr>
          <w:sz w:val="24"/>
          <w:szCs w:val="24"/>
        </w:rPr>
        <w:t xml:space="preserve">. This convening will be held on </w:t>
      </w:r>
      <w:r w:rsidRPr="00225DF1">
        <w:rPr>
          <w:b/>
          <w:i/>
          <w:sz w:val="24"/>
          <w:szCs w:val="24"/>
        </w:rPr>
        <w:t>[date/time]</w:t>
      </w:r>
      <w:r w:rsidRPr="00225DF1">
        <w:rPr>
          <w:sz w:val="24"/>
          <w:szCs w:val="24"/>
        </w:rPr>
        <w:t xml:space="preserve"> in conjunction with the </w:t>
      </w:r>
      <w:r w:rsidRPr="00225DF1">
        <w:rPr>
          <w:b/>
          <w:sz w:val="24"/>
          <w:szCs w:val="24"/>
        </w:rPr>
        <w:t>[Intersecting event/festival/conference, if applicable]</w:t>
      </w:r>
      <w:r w:rsidRPr="00225DF1">
        <w:rPr>
          <w:sz w:val="24"/>
          <w:szCs w:val="24"/>
        </w:rPr>
        <w:t>.</w:t>
      </w:r>
    </w:p>
    <w:p w:rsidR="009E6FB1" w:rsidRPr="00225DF1" w:rsidRDefault="009E6FB1" w:rsidP="009E6FB1">
      <w:pPr>
        <w:rPr>
          <w:sz w:val="24"/>
          <w:szCs w:val="24"/>
        </w:rPr>
      </w:pPr>
      <w:r w:rsidRPr="00225DF1">
        <w:rPr>
          <w:sz w:val="24"/>
          <w:szCs w:val="24"/>
        </w:rPr>
        <w:t xml:space="preserve"> </w:t>
      </w:r>
    </w:p>
    <w:p w:rsidR="009E6FB1" w:rsidRPr="00225DF1" w:rsidRDefault="009E6FB1" w:rsidP="009E6FB1">
      <w:pPr>
        <w:rPr>
          <w:sz w:val="24"/>
          <w:szCs w:val="24"/>
        </w:rPr>
      </w:pPr>
      <w:r w:rsidRPr="00225DF1">
        <w:rPr>
          <w:sz w:val="24"/>
          <w:szCs w:val="24"/>
        </w:rPr>
        <w:t xml:space="preserve">This half-day event will bring together key stakeholders, such as industry leaders and public sector representatives, independent makers, film festivals, service organizations and other funding and distribution partners. Through panel discussions and breakout groups, the dialogue will focus on brainstorming tangible, collaborative opportunities to support a more sustainable documentary ecosystem, with a special emphasis on regional impact. The event will draw on the findings presented in the </w:t>
      </w:r>
      <w:hyperlink r:id="rId10" w:history="1">
        <w:r w:rsidRPr="00225DF1">
          <w:rPr>
            <w:rStyle w:val="Hyperlink"/>
            <w:i/>
            <w:sz w:val="24"/>
            <w:szCs w:val="24"/>
          </w:rPr>
          <w:t>State of the Field: A Report from the Documentary Sustainability Summit</w:t>
        </w:r>
      </w:hyperlink>
      <w:r w:rsidRPr="00225DF1">
        <w:rPr>
          <w:sz w:val="24"/>
          <w:szCs w:val="24"/>
        </w:rPr>
        <w:t>, published in partnership by the National Endowment for the Arts (NEA) and the International Documentary Association (IDA).</w:t>
      </w:r>
    </w:p>
    <w:p w:rsidR="009E6FB1" w:rsidRPr="00225DF1" w:rsidRDefault="009E6FB1" w:rsidP="009E6FB1">
      <w:pPr>
        <w:rPr>
          <w:sz w:val="24"/>
          <w:szCs w:val="24"/>
        </w:rPr>
      </w:pPr>
      <w:r w:rsidRPr="00225DF1">
        <w:rPr>
          <w:sz w:val="24"/>
          <w:szCs w:val="24"/>
        </w:rPr>
        <w:t xml:space="preserve"> </w:t>
      </w:r>
    </w:p>
    <w:p w:rsidR="009E6FB1" w:rsidRPr="00225DF1" w:rsidRDefault="009E6FB1" w:rsidP="009E6FB1">
      <w:pPr>
        <w:rPr>
          <w:sz w:val="24"/>
          <w:szCs w:val="24"/>
        </w:rPr>
      </w:pPr>
      <w:r w:rsidRPr="00225DF1">
        <w:rPr>
          <w:sz w:val="24"/>
          <w:szCs w:val="24"/>
        </w:rPr>
        <w:t xml:space="preserve">To secure your place for this critical discussion, please RSVP via </w:t>
      </w:r>
      <w:r w:rsidRPr="00225DF1">
        <w:rPr>
          <w:b/>
          <w:sz w:val="24"/>
          <w:szCs w:val="24"/>
        </w:rPr>
        <w:t xml:space="preserve">[link to event </w:t>
      </w:r>
      <w:r w:rsidR="00523427">
        <w:rPr>
          <w:b/>
          <w:sz w:val="24"/>
          <w:szCs w:val="24"/>
        </w:rPr>
        <w:t xml:space="preserve">registration, via Eventbrite or other service, </w:t>
      </w:r>
      <w:r w:rsidRPr="00225DF1">
        <w:rPr>
          <w:b/>
          <w:sz w:val="24"/>
          <w:szCs w:val="24"/>
        </w:rPr>
        <w:t>here]</w:t>
      </w:r>
      <w:r w:rsidRPr="00225DF1">
        <w:rPr>
          <w:sz w:val="24"/>
          <w:szCs w:val="24"/>
        </w:rPr>
        <w:t xml:space="preserve">. We’ll follow up soon with a more detailed agenda, optional reading and list of participants. In the meantime, you can get a head start by reviewing a collection of </w:t>
      </w:r>
      <w:hyperlink r:id="rId11" w:history="1">
        <w:r w:rsidRPr="00225DF1">
          <w:rPr>
            <w:rStyle w:val="Hyperlink"/>
            <w:sz w:val="24"/>
            <w:szCs w:val="24"/>
          </w:rPr>
          <w:t>Documentary Sustainability Resources</w:t>
        </w:r>
      </w:hyperlink>
      <w:r w:rsidRPr="00225DF1">
        <w:rPr>
          <w:sz w:val="24"/>
          <w:szCs w:val="24"/>
        </w:rPr>
        <w:t xml:space="preserve"> on the NEA’s website.</w:t>
      </w:r>
    </w:p>
    <w:p w:rsidR="009E6FB1" w:rsidRPr="00225DF1" w:rsidRDefault="009E6FB1" w:rsidP="009E6FB1">
      <w:pPr>
        <w:rPr>
          <w:sz w:val="24"/>
          <w:szCs w:val="24"/>
        </w:rPr>
      </w:pPr>
      <w:r w:rsidRPr="00225DF1">
        <w:rPr>
          <w:sz w:val="24"/>
          <w:szCs w:val="24"/>
        </w:rPr>
        <w:t xml:space="preserve"> </w:t>
      </w:r>
    </w:p>
    <w:p w:rsidR="009E6FB1" w:rsidRPr="00225DF1" w:rsidRDefault="009E6FB1" w:rsidP="009E6FB1">
      <w:pPr>
        <w:rPr>
          <w:sz w:val="24"/>
          <w:szCs w:val="24"/>
        </w:rPr>
      </w:pPr>
      <w:r w:rsidRPr="00225DF1">
        <w:rPr>
          <w:sz w:val="24"/>
          <w:szCs w:val="24"/>
        </w:rPr>
        <w:t xml:space="preserve">If you have additional questions, please email </w:t>
      </w:r>
      <w:r w:rsidRPr="00225DF1">
        <w:rPr>
          <w:b/>
          <w:sz w:val="24"/>
          <w:szCs w:val="24"/>
        </w:rPr>
        <w:t>[convening organizer]</w:t>
      </w:r>
      <w:r w:rsidRPr="00225DF1">
        <w:rPr>
          <w:sz w:val="24"/>
          <w:szCs w:val="24"/>
        </w:rPr>
        <w:t>.</w:t>
      </w:r>
    </w:p>
    <w:p w:rsidR="009E6FB1" w:rsidRPr="00225DF1" w:rsidRDefault="009E6FB1" w:rsidP="009E6FB1">
      <w:pPr>
        <w:rPr>
          <w:sz w:val="24"/>
          <w:szCs w:val="24"/>
        </w:rPr>
      </w:pPr>
      <w:r w:rsidRPr="00225DF1">
        <w:rPr>
          <w:sz w:val="24"/>
          <w:szCs w:val="24"/>
        </w:rPr>
        <w:t xml:space="preserve"> </w:t>
      </w:r>
    </w:p>
    <w:p w:rsidR="009E6FB1" w:rsidRPr="00225DF1" w:rsidRDefault="009E6FB1" w:rsidP="009E6FB1">
      <w:pPr>
        <w:rPr>
          <w:sz w:val="24"/>
          <w:szCs w:val="24"/>
        </w:rPr>
      </w:pPr>
      <w:r w:rsidRPr="00225DF1">
        <w:rPr>
          <w:sz w:val="24"/>
          <w:szCs w:val="24"/>
        </w:rPr>
        <w:t>We look forward to seeing you!</w:t>
      </w:r>
    </w:p>
    <w:p w:rsidR="009E6FB1" w:rsidRDefault="009E6FB1" w:rsidP="009E6FB1"/>
    <w:p w:rsidR="009E6FB1" w:rsidRDefault="009E6FB1" w:rsidP="009E6FB1"/>
    <w:p w:rsidR="009E6FB1" w:rsidRDefault="009E6FB1" w:rsidP="009E6FB1"/>
    <w:p w:rsidR="009E6FB1" w:rsidRDefault="009E6FB1" w:rsidP="009E6FB1">
      <w:pPr>
        <w:rPr>
          <w:b/>
          <w:u w:val="single"/>
        </w:rPr>
      </w:pPr>
      <w:r>
        <w:rPr>
          <w:b/>
          <w:u w:val="single"/>
        </w:rPr>
        <w:t xml:space="preserve"> </w:t>
      </w:r>
    </w:p>
    <w:p w:rsidR="009E6FB1" w:rsidRDefault="009E6FB1" w:rsidP="009E6FB1">
      <w:pPr>
        <w:rPr>
          <w:b/>
          <w:u w:val="single"/>
        </w:rPr>
      </w:pPr>
      <w:r>
        <w:rPr>
          <w:b/>
          <w:u w:val="single"/>
        </w:rPr>
        <w:t xml:space="preserve"> </w:t>
      </w:r>
    </w:p>
    <w:p w:rsidR="009E6FB1" w:rsidRPr="00B66209" w:rsidRDefault="009E6FB1" w:rsidP="00523427">
      <w:pPr>
        <w:pStyle w:val="Heading1"/>
        <w:rPr>
          <w:b/>
        </w:rPr>
      </w:pPr>
      <w:r>
        <w:lastRenderedPageBreak/>
        <w:t xml:space="preserve"> </w:t>
      </w:r>
      <w:r w:rsidR="00B25727" w:rsidRPr="00523427">
        <w:rPr>
          <w:rFonts w:ascii="Arial" w:hAnsi="Arial" w:cs="Arial"/>
          <w:b/>
          <w:i/>
          <w:sz w:val="28"/>
          <w:szCs w:val="28"/>
        </w:rPr>
        <w:t>S</w:t>
      </w:r>
      <w:r w:rsidR="00ED1172" w:rsidRPr="00523427">
        <w:rPr>
          <w:rFonts w:ascii="Arial" w:hAnsi="Arial" w:cs="Arial"/>
          <w:b/>
          <w:i/>
          <w:sz w:val="28"/>
          <w:szCs w:val="28"/>
        </w:rPr>
        <w:t xml:space="preserve">ample Language for Online Event Invite </w:t>
      </w:r>
    </w:p>
    <w:p w:rsidR="009E6FB1" w:rsidRPr="00A0761B" w:rsidRDefault="009E6FB1" w:rsidP="009E6FB1">
      <w:pPr>
        <w:rPr>
          <w:sz w:val="24"/>
        </w:rPr>
      </w:pPr>
      <w:r w:rsidRPr="00A0761B">
        <w:rPr>
          <w:sz w:val="24"/>
        </w:rPr>
        <w:t xml:space="preserve"> </w:t>
      </w:r>
    </w:p>
    <w:p w:rsidR="009E6FB1" w:rsidRPr="00A0761B" w:rsidRDefault="009E6FB1" w:rsidP="009E6FB1">
      <w:pPr>
        <w:rPr>
          <w:sz w:val="24"/>
        </w:rPr>
      </w:pPr>
      <w:r w:rsidRPr="00A0761B">
        <w:rPr>
          <w:b/>
          <w:color w:val="222222"/>
          <w:sz w:val="24"/>
        </w:rPr>
        <w:t>[Documentary Career Sustainability Summit Title]</w:t>
      </w:r>
    </w:p>
    <w:p w:rsidR="009E6FB1" w:rsidRPr="00A0761B" w:rsidRDefault="009E6FB1" w:rsidP="009E6FB1">
      <w:pPr>
        <w:rPr>
          <w:sz w:val="24"/>
        </w:rPr>
      </w:pPr>
      <w:r w:rsidRPr="00A0761B">
        <w:rPr>
          <w:sz w:val="24"/>
        </w:rPr>
        <w:t>This</w:t>
      </w:r>
      <w:r w:rsidRPr="00A0761B">
        <w:rPr>
          <w:color w:val="222222"/>
          <w:sz w:val="24"/>
        </w:rPr>
        <w:t xml:space="preserve"> </w:t>
      </w:r>
      <w:r w:rsidRPr="00A0761B">
        <w:rPr>
          <w:sz w:val="24"/>
        </w:rPr>
        <w:t>half-day event will bring together key stakeholders, such as industry leaders and public sector representatives, independent makers, film festivals, service organizations and other funding and distribution partners. Through panel discussions and breakout groups, the dialogue will focus on brainstorming tangible, collaborative opportunities to support a more sustainable documentary ecosystem, with a special emphasis on regional impact.</w:t>
      </w:r>
    </w:p>
    <w:p w:rsidR="009E6FB1" w:rsidRPr="00A0761B" w:rsidRDefault="009E6FB1" w:rsidP="009E6FB1">
      <w:pPr>
        <w:rPr>
          <w:sz w:val="24"/>
        </w:rPr>
      </w:pPr>
    </w:p>
    <w:p w:rsidR="009E6FB1" w:rsidRPr="00A0761B" w:rsidRDefault="009E6FB1" w:rsidP="009E6FB1">
      <w:pPr>
        <w:rPr>
          <w:color w:val="222222"/>
          <w:sz w:val="24"/>
          <w:highlight w:val="white"/>
        </w:rPr>
      </w:pPr>
      <w:r w:rsidRPr="00A0761B">
        <w:rPr>
          <w:sz w:val="24"/>
        </w:rPr>
        <w:t xml:space="preserve">The event will draw on the findings presented in the </w:t>
      </w:r>
      <w:hyperlink r:id="rId12" w:history="1">
        <w:r w:rsidRPr="00A0761B">
          <w:rPr>
            <w:rStyle w:val="Hyperlink"/>
            <w:i/>
            <w:sz w:val="24"/>
          </w:rPr>
          <w:t>State of the Field: A Report from the Documentary Sustainability Summit</w:t>
        </w:r>
      </w:hyperlink>
      <w:r w:rsidRPr="00A0761B">
        <w:rPr>
          <w:sz w:val="24"/>
        </w:rPr>
        <w:t xml:space="preserve">, published in partnership by the National Endowment for the Arts (NEA) and the International Documentary Association (IDA). Additional </w:t>
      </w:r>
      <w:hyperlink r:id="rId13" w:history="1">
        <w:r w:rsidRPr="00A0761B">
          <w:rPr>
            <w:rStyle w:val="Hyperlink"/>
            <w:sz w:val="24"/>
          </w:rPr>
          <w:t>Documentary Sustainability Resources</w:t>
        </w:r>
      </w:hyperlink>
      <w:r w:rsidRPr="00A0761B">
        <w:rPr>
          <w:sz w:val="24"/>
        </w:rPr>
        <w:t xml:space="preserve"> are available on the NEA’s website.</w:t>
      </w:r>
    </w:p>
    <w:p w:rsidR="009E6FB1" w:rsidRPr="00A0761B" w:rsidRDefault="009E6FB1" w:rsidP="009E6FB1">
      <w:pPr>
        <w:rPr>
          <w:color w:val="222222"/>
          <w:sz w:val="24"/>
          <w:highlight w:val="white"/>
        </w:rPr>
      </w:pPr>
    </w:p>
    <w:p w:rsidR="009E6FB1" w:rsidRPr="00A0761B" w:rsidRDefault="009E6FB1" w:rsidP="009E6FB1">
      <w:pPr>
        <w:rPr>
          <w:b/>
          <w:color w:val="222222"/>
          <w:sz w:val="24"/>
          <w:highlight w:val="white"/>
        </w:rPr>
      </w:pPr>
      <w:r w:rsidRPr="00A0761B">
        <w:rPr>
          <w:b/>
          <w:color w:val="222222"/>
          <w:sz w:val="24"/>
          <w:highlight w:val="white"/>
        </w:rPr>
        <w:t>Details:</w:t>
      </w:r>
    </w:p>
    <w:p w:rsidR="009E6FB1" w:rsidRPr="00A0761B" w:rsidRDefault="009E6FB1" w:rsidP="009E6FB1">
      <w:pPr>
        <w:rPr>
          <w:color w:val="222222"/>
          <w:sz w:val="24"/>
          <w:highlight w:val="white"/>
        </w:rPr>
      </w:pPr>
      <w:r w:rsidRPr="00A0761B">
        <w:rPr>
          <w:color w:val="222222"/>
          <w:sz w:val="24"/>
          <w:highlight w:val="white"/>
        </w:rPr>
        <w:t>Event Date, Time, Location.</w:t>
      </w:r>
    </w:p>
    <w:p w:rsidR="009E6FB1" w:rsidRPr="00A0761B" w:rsidRDefault="009E6FB1" w:rsidP="009E6FB1">
      <w:pPr>
        <w:rPr>
          <w:b/>
          <w:sz w:val="24"/>
        </w:rPr>
      </w:pPr>
    </w:p>
    <w:p w:rsidR="009E6FB1" w:rsidRPr="00A0761B" w:rsidRDefault="009E6FB1" w:rsidP="009E6FB1">
      <w:pPr>
        <w:rPr>
          <w:b/>
          <w:sz w:val="24"/>
        </w:rPr>
      </w:pPr>
      <w:r w:rsidRPr="00A0761B">
        <w:rPr>
          <w:b/>
          <w:sz w:val="24"/>
        </w:rPr>
        <w:t>About the Event:</w:t>
      </w:r>
    </w:p>
    <w:p w:rsidR="009E6FB1" w:rsidRPr="00A0761B" w:rsidRDefault="009E6FB1" w:rsidP="009E6FB1">
      <w:pPr>
        <w:pStyle w:val="ListParagraph"/>
        <w:numPr>
          <w:ilvl w:val="0"/>
          <w:numId w:val="5"/>
        </w:numPr>
        <w:pBdr>
          <w:top w:val="nil"/>
          <w:left w:val="nil"/>
          <w:bottom w:val="nil"/>
          <w:right w:val="nil"/>
          <w:between w:val="nil"/>
        </w:pBdr>
        <w:spacing w:after="0" w:line="276" w:lineRule="auto"/>
        <w:rPr>
          <w:b/>
          <w:sz w:val="24"/>
        </w:rPr>
      </w:pPr>
      <w:r w:rsidRPr="00A0761B">
        <w:rPr>
          <w:sz w:val="24"/>
        </w:rPr>
        <w:t>Registration is required for attendance.</w:t>
      </w:r>
    </w:p>
    <w:p w:rsidR="009E6FB1" w:rsidRPr="00A0761B" w:rsidRDefault="009E6FB1" w:rsidP="009E6FB1">
      <w:pPr>
        <w:pStyle w:val="ListParagraph"/>
        <w:numPr>
          <w:ilvl w:val="0"/>
          <w:numId w:val="5"/>
        </w:numPr>
        <w:pBdr>
          <w:top w:val="nil"/>
          <w:left w:val="nil"/>
          <w:bottom w:val="nil"/>
          <w:right w:val="nil"/>
          <w:between w:val="nil"/>
        </w:pBdr>
        <w:spacing w:after="0" w:line="276" w:lineRule="auto"/>
        <w:rPr>
          <w:sz w:val="24"/>
        </w:rPr>
      </w:pPr>
      <w:r w:rsidRPr="00A0761B">
        <w:rPr>
          <w:sz w:val="24"/>
        </w:rPr>
        <w:t>The summit will begin promptly at noon, plan to arrive 15 minutes early.</w:t>
      </w:r>
    </w:p>
    <w:p w:rsidR="009E6FB1" w:rsidRPr="00A0761B" w:rsidRDefault="009E6FB1" w:rsidP="009E6FB1">
      <w:pPr>
        <w:pStyle w:val="ListParagraph"/>
        <w:numPr>
          <w:ilvl w:val="0"/>
          <w:numId w:val="5"/>
        </w:numPr>
        <w:pBdr>
          <w:top w:val="nil"/>
          <w:left w:val="nil"/>
          <w:bottom w:val="nil"/>
          <w:right w:val="nil"/>
          <w:between w:val="nil"/>
        </w:pBdr>
        <w:spacing w:after="0" w:line="276" w:lineRule="auto"/>
        <w:rPr>
          <w:sz w:val="24"/>
        </w:rPr>
      </w:pPr>
      <w:r w:rsidRPr="00A0761B">
        <w:rPr>
          <w:sz w:val="24"/>
        </w:rPr>
        <w:t>This venue is ADA compliant.</w:t>
      </w:r>
    </w:p>
    <w:p w:rsidR="009E6FB1" w:rsidRPr="00A0761B" w:rsidRDefault="009E6FB1" w:rsidP="009E6FB1">
      <w:pPr>
        <w:pStyle w:val="ListParagraph"/>
        <w:numPr>
          <w:ilvl w:val="0"/>
          <w:numId w:val="5"/>
        </w:numPr>
        <w:pBdr>
          <w:top w:val="nil"/>
          <w:left w:val="nil"/>
          <w:bottom w:val="nil"/>
          <w:right w:val="nil"/>
          <w:between w:val="nil"/>
        </w:pBdr>
        <w:spacing w:after="0" w:line="276" w:lineRule="auto"/>
        <w:rPr>
          <w:sz w:val="24"/>
        </w:rPr>
      </w:pPr>
      <w:r w:rsidRPr="00A0761B">
        <w:rPr>
          <w:sz w:val="24"/>
        </w:rPr>
        <w:t xml:space="preserve">For general questions about the event, please email </w:t>
      </w:r>
      <w:r w:rsidRPr="00A0761B">
        <w:rPr>
          <w:b/>
          <w:sz w:val="24"/>
        </w:rPr>
        <w:t>[convening organizer]</w:t>
      </w:r>
      <w:r w:rsidRPr="00A0761B">
        <w:rPr>
          <w:sz w:val="24"/>
        </w:rPr>
        <w:t>.</w:t>
      </w:r>
    </w:p>
    <w:p w:rsidR="009E6FB1" w:rsidRPr="00A0761B" w:rsidRDefault="009E6FB1" w:rsidP="009E6FB1">
      <w:pPr>
        <w:rPr>
          <w:sz w:val="24"/>
        </w:rPr>
      </w:pPr>
      <w:r w:rsidRPr="00A0761B">
        <w:rPr>
          <w:sz w:val="24"/>
        </w:rPr>
        <w:t xml:space="preserve"> </w:t>
      </w:r>
    </w:p>
    <w:p w:rsidR="009E6FB1" w:rsidRPr="00A0761B" w:rsidRDefault="009E6FB1" w:rsidP="009E6FB1">
      <w:pPr>
        <w:rPr>
          <w:b/>
          <w:sz w:val="24"/>
        </w:rPr>
      </w:pPr>
      <w:r w:rsidRPr="00A0761B">
        <w:rPr>
          <w:b/>
          <w:sz w:val="24"/>
        </w:rPr>
        <w:t>Images:</w:t>
      </w:r>
    </w:p>
    <w:p w:rsidR="009E6FB1" w:rsidRPr="00A0761B" w:rsidRDefault="009E6FB1" w:rsidP="009E6FB1">
      <w:pPr>
        <w:rPr>
          <w:b/>
          <w:sz w:val="24"/>
        </w:rPr>
      </w:pPr>
      <w:r w:rsidRPr="00A0761B">
        <w:rPr>
          <w:sz w:val="24"/>
        </w:rPr>
        <w:t>[Organizing Partners’ Logos]</w:t>
      </w:r>
    </w:p>
    <w:p w:rsidR="00B25727" w:rsidRPr="00A0761B" w:rsidRDefault="009E6FB1" w:rsidP="009E6FB1">
      <w:pPr>
        <w:rPr>
          <w:sz w:val="24"/>
        </w:rPr>
      </w:pPr>
      <w:r w:rsidRPr="00A0761B">
        <w:rPr>
          <w:sz w:val="24"/>
        </w:rPr>
        <w:t>[NEA Sustainability Report Cover Image – Included in Toolkit]</w:t>
      </w:r>
    </w:p>
    <w:p w:rsidR="00B25727" w:rsidRDefault="00B25727">
      <w:r>
        <w:br w:type="page"/>
      </w:r>
    </w:p>
    <w:p w:rsidR="000225F7" w:rsidRPr="00523427" w:rsidRDefault="00ED1172" w:rsidP="00523427">
      <w:pPr>
        <w:pStyle w:val="Heading1"/>
        <w:jc w:val="center"/>
        <w:rPr>
          <w:rFonts w:ascii="Arial" w:hAnsi="Arial" w:cs="Arial"/>
          <w:b/>
          <w:i/>
          <w:sz w:val="28"/>
          <w:szCs w:val="28"/>
        </w:rPr>
      </w:pPr>
      <w:r w:rsidRPr="00523427">
        <w:rPr>
          <w:rFonts w:ascii="Arial" w:hAnsi="Arial" w:cs="Arial"/>
          <w:b/>
          <w:i/>
          <w:sz w:val="28"/>
          <w:szCs w:val="28"/>
        </w:rPr>
        <w:lastRenderedPageBreak/>
        <w:t>Needs Analysis &amp; Asset Mapping</w:t>
      </w:r>
    </w:p>
    <w:p w:rsidR="000225F7" w:rsidRPr="000225F7" w:rsidRDefault="000225F7" w:rsidP="000225F7">
      <w:pPr>
        <w:jc w:val="center"/>
        <w:rPr>
          <w:rFonts w:ascii="Arial" w:hAnsi="Arial" w:cs="Arial"/>
          <w:b/>
        </w:rPr>
      </w:pPr>
    </w:p>
    <w:p w:rsidR="00B25727" w:rsidRDefault="00B25727" w:rsidP="000225F7">
      <w:pPr>
        <w:jc w:val="center"/>
        <w:rPr>
          <w:rFonts w:ascii="Arial" w:hAnsi="Arial" w:cs="Arial"/>
          <w:b/>
        </w:rPr>
      </w:pPr>
      <w:r>
        <w:rPr>
          <w:rFonts w:ascii="Arial" w:hAnsi="Arial" w:cs="Arial"/>
          <w:b/>
        </w:rPr>
        <w:t>THE FOLLOWING PAGES INCLUDE HANDOUTS FOR BREAK OUT SESSIONS</w:t>
      </w:r>
    </w:p>
    <w:p w:rsidR="00B25727" w:rsidRDefault="00B25727" w:rsidP="00B25727">
      <w:pPr>
        <w:rPr>
          <w:rFonts w:ascii="Arial" w:hAnsi="Arial" w:cs="Arial"/>
          <w:b/>
        </w:rPr>
      </w:pPr>
    </w:p>
    <w:p w:rsidR="00B25727" w:rsidRDefault="00B25727" w:rsidP="00B25727">
      <w:pPr>
        <w:rPr>
          <w:rFonts w:ascii="Arial" w:hAnsi="Arial" w:cs="Arial"/>
          <w:b/>
        </w:rPr>
      </w:pPr>
      <w:r>
        <w:rPr>
          <w:rFonts w:ascii="Arial" w:hAnsi="Arial" w:cs="Arial"/>
          <w:b/>
        </w:rPr>
        <w:t>INCLUDES:</w:t>
      </w:r>
    </w:p>
    <w:p w:rsidR="00B25727" w:rsidRPr="00A0761B" w:rsidRDefault="00B25727" w:rsidP="00B25727">
      <w:pPr>
        <w:pStyle w:val="ListParagraph"/>
        <w:numPr>
          <w:ilvl w:val="0"/>
          <w:numId w:val="12"/>
        </w:numPr>
        <w:spacing w:line="240" w:lineRule="auto"/>
        <w:rPr>
          <w:rFonts w:cs="Arial"/>
          <w:b/>
          <w:sz w:val="24"/>
        </w:rPr>
      </w:pPr>
      <w:r w:rsidRPr="00A0761B">
        <w:rPr>
          <w:rFonts w:cs="Arial"/>
          <w:b/>
          <w:sz w:val="24"/>
        </w:rPr>
        <w:t>Moderator Instructions</w:t>
      </w:r>
    </w:p>
    <w:p w:rsidR="00B25727" w:rsidRPr="00A0761B" w:rsidRDefault="00B25727" w:rsidP="00B25727">
      <w:pPr>
        <w:pStyle w:val="NoSpacing"/>
        <w:numPr>
          <w:ilvl w:val="0"/>
          <w:numId w:val="12"/>
        </w:numPr>
        <w:rPr>
          <w:rFonts w:cs="Arial"/>
          <w:sz w:val="24"/>
        </w:rPr>
      </w:pPr>
      <w:r w:rsidRPr="00A0761B">
        <w:rPr>
          <w:rFonts w:cs="Arial"/>
          <w:b/>
          <w:sz w:val="24"/>
        </w:rPr>
        <w:t>Breakout Session Worksheets</w:t>
      </w:r>
    </w:p>
    <w:p w:rsidR="00B25727" w:rsidRPr="00A0761B" w:rsidRDefault="00B25727" w:rsidP="00B25727">
      <w:pPr>
        <w:pStyle w:val="NoSpacing"/>
        <w:numPr>
          <w:ilvl w:val="1"/>
          <w:numId w:val="4"/>
        </w:numPr>
        <w:rPr>
          <w:rFonts w:cs="Arial"/>
          <w:color w:val="000000"/>
          <w:sz w:val="24"/>
        </w:rPr>
      </w:pPr>
      <w:r w:rsidRPr="00A0761B">
        <w:rPr>
          <w:rFonts w:cs="Arial"/>
          <w:color w:val="000000"/>
          <w:sz w:val="24"/>
        </w:rPr>
        <w:t xml:space="preserve">Worksheet #1: Needs &amp; Asset Mapping for </w:t>
      </w:r>
      <w:r w:rsidR="00E26ECC" w:rsidRPr="00A0761B">
        <w:rPr>
          <w:rFonts w:cs="Arial"/>
          <w:b/>
          <w:color w:val="000000"/>
          <w:sz w:val="24"/>
        </w:rPr>
        <w:t>Media Makers</w:t>
      </w:r>
      <w:r w:rsidRPr="00A0761B">
        <w:rPr>
          <w:rFonts w:cs="Arial"/>
          <w:color w:val="000000"/>
          <w:sz w:val="24"/>
        </w:rPr>
        <w:t> </w:t>
      </w:r>
    </w:p>
    <w:p w:rsidR="00B25727" w:rsidRPr="00A0761B" w:rsidRDefault="00B25727" w:rsidP="00B25727">
      <w:pPr>
        <w:pStyle w:val="NoSpacing"/>
        <w:numPr>
          <w:ilvl w:val="1"/>
          <w:numId w:val="4"/>
        </w:numPr>
        <w:rPr>
          <w:rFonts w:cs="Arial"/>
          <w:color w:val="000000"/>
          <w:sz w:val="24"/>
        </w:rPr>
      </w:pPr>
      <w:r w:rsidRPr="00A0761B">
        <w:rPr>
          <w:rFonts w:cs="Arial"/>
          <w:color w:val="000000"/>
          <w:sz w:val="24"/>
        </w:rPr>
        <w:t xml:space="preserve">Worksheet #2: Needs &amp; Asset Mapping for </w:t>
      </w:r>
      <w:r w:rsidRPr="00A0761B">
        <w:rPr>
          <w:rFonts w:cs="Arial"/>
          <w:b/>
          <w:color w:val="000000"/>
          <w:sz w:val="24"/>
        </w:rPr>
        <w:t>Organizations</w:t>
      </w:r>
    </w:p>
    <w:p w:rsidR="00B25727" w:rsidRPr="00B25727" w:rsidRDefault="00B25727" w:rsidP="00B25727">
      <w:pPr>
        <w:rPr>
          <w:rFonts w:ascii="Arial" w:hAnsi="Arial" w:cs="Arial"/>
          <w:b/>
        </w:rPr>
      </w:pPr>
    </w:p>
    <w:p w:rsidR="00B25727" w:rsidRPr="00ED1172" w:rsidRDefault="00B25727" w:rsidP="00B25727">
      <w:pPr>
        <w:rPr>
          <w:rFonts w:ascii="Arial" w:hAnsi="Arial" w:cs="Arial"/>
          <w:b/>
          <w:i/>
          <w:sz w:val="24"/>
          <w:szCs w:val="24"/>
          <w:u w:val="single"/>
        </w:rPr>
      </w:pPr>
      <w:r>
        <w:rPr>
          <w:rFonts w:ascii="Arial" w:hAnsi="Arial" w:cs="Arial"/>
          <w:b/>
        </w:rPr>
        <w:br w:type="page"/>
      </w:r>
      <w:r w:rsidRPr="00ED1172">
        <w:rPr>
          <w:rFonts w:ascii="Arial" w:hAnsi="Arial" w:cs="Arial"/>
          <w:b/>
          <w:i/>
          <w:sz w:val="24"/>
          <w:szCs w:val="24"/>
          <w:u w:val="single"/>
        </w:rPr>
        <w:lastRenderedPageBreak/>
        <w:t>Moderator Instructions</w:t>
      </w:r>
    </w:p>
    <w:p w:rsidR="00B25727" w:rsidRPr="00E826A9" w:rsidRDefault="00B25727" w:rsidP="00B25727">
      <w:pPr>
        <w:rPr>
          <w:rFonts w:cs="Arial"/>
          <w:sz w:val="14"/>
          <w:szCs w:val="24"/>
        </w:rPr>
      </w:pPr>
    </w:p>
    <w:p w:rsidR="00B25727" w:rsidRPr="00F15EE0" w:rsidRDefault="00B25727" w:rsidP="00B25727">
      <w:pPr>
        <w:rPr>
          <w:rFonts w:cs="Arial"/>
          <w:b/>
          <w:sz w:val="24"/>
          <w:szCs w:val="24"/>
        </w:rPr>
      </w:pPr>
      <w:r w:rsidRPr="00F15EE0">
        <w:rPr>
          <w:rFonts w:cs="Arial"/>
          <w:b/>
          <w:sz w:val="24"/>
          <w:szCs w:val="24"/>
        </w:rPr>
        <w:t>Worksheet explanation:</w:t>
      </w:r>
    </w:p>
    <w:p w:rsidR="00B25727" w:rsidRDefault="00B25727" w:rsidP="00B25727">
      <w:pPr>
        <w:pStyle w:val="ListParagraph"/>
        <w:numPr>
          <w:ilvl w:val="0"/>
          <w:numId w:val="7"/>
        </w:numPr>
        <w:spacing w:after="0" w:line="240" w:lineRule="auto"/>
        <w:rPr>
          <w:rFonts w:cs="Arial"/>
          <w:sz w:val="24"/>
          <w:szCs w:val="24"/>
        </w:rPr>
      </w:pPr>
      <w:r w:rsidRPr="00F15EE0">
        <w:rPr>
          <w:rFonts w:cs="Arial"/>
          <w:sz w:val="24"/>
          <w:szCs w:val="24"/>
        </w:rPr>
        <w:t xml:space="preserve">One </w:t>
      </w:r>
      <w:r w:rsidR="006B36EB">
        <w:rPr>
          <w:rFonts w:cs="Arial"/>
          <w:sz w:val="24"/>
          <w:szCs w:val="24"/>
        </w:rPr>
        <w:t>sheet</w:t>
      </w:r>
      <w:r w:rsidRPr="00F15EE0">
        <w:rPr>
          <w:rFonts w:cs="Arial"/>
          <w:sz w:val="24"/>
          <w:szCs w:val="24"/>
        </w:rPr>
        <w:t xml:space="preserve"> to fill out and turn in to moderators.</w:t>
      </w:r>
    </w:p>
    <w:p w:rsidR="006B36EB" w:rsidRPr="00F15EE0" w:rsidRDefault="006B36EB" w:rsidP="00B25727">
      <w:pPr>
        <w:pStyle w:val="ListParagraph"/>
        <w:numPr>
          <w:ilvl w:val="0"/>
          <w:numId w:val="7"/>
        </w:numPr>
        <w:spacing w:after="0" w:line="240" w:lineRule="auto"/>
        <w:rPr>
          <w:rFonts w:cs="Arial"/>
          <w:sz w:val="24"/>
          <w:szCs w:val="24"/>
        </w:rPr>
      </w:pPr>
      <w:r>
        <w:rPr>
          <w:rFonts w:cs="Arial"/>
          <w:sz w:val="24"/>
          <w:szCs w:val="24"/>
        </w:rPr>
        <w:t>Sheet can be modified into a two sided work sheet to provide more writing space.</w:t>
      </w:r>
    </w:p>
    <w:p w:rsidR="00B25727" w:rsidRPr="00F15EE0" w:rsidRDefault="00B25727" w:rsidP="00B25727">
      <w:pPr>
        <w:pStyle w:val="ListParagraph"/>
        <w:numPr>
          <w:ilvl w:val="0"/>
          <w:numId w:val="7"/>
        </w:numPr>
        <w:spacing w:after="0" w:line="240" w:lineRule="auto"/>
        <w:rPr>
          <w:rFonts w:cs="Arial"/>
          <w:sz w:val="24"/>
          <w:szCs w:val="24"/>
        </w:rPr>
      </w:pPr>
      <w:r w:rsidRPr="00F15EE0">
        <w:rPr>
          <w:rFonts w:cs="Arial"/>
          <w:sz w:val="24"/>
          <w:szCs w:val="24"/>
        </w:rPr>
        <w:t>Remind participants to write somewhat legibly, as this is a contributing record to help steer the regional conversation.</w:t>
      </w:r>
    </w:p>
    <w:p w:rsidR="00B25727" w:rsidRPr="00F15EE0" w:rsidRDefault="00B25727" w:rsidP="00B25727">
      <w:pPr>
        <w:pStyle w:val="ListParagraph"/>
        <w:numPr>
          <w:ilvl w:val="0"/>
          <w:numId w:val="7"/>
        </w:numPr>
        <w:spacing w:after="0" w:line="240" w:lineRule="auto"/>
        <w:rPr>
          <w:rFonts w:cs="Arial"/>
          <w:sz w:val="24"/>
          <w:szCs w:val="24"/>
        </w:rPr>
      </w:pPr>
      <w:r w:rsidRPr="00F15EE0">
        <w:rPr>
          <w:rFonts w:cs="Arial"/>
          <w:sz w:val="24"/>
          <w:szCs w:val="24"/>
        </w:rPr>
        <w:t>Have attendees take a picture for their own records. Build time to do so.</w:t>
      </w:r>
    </w:p>
    <w:p w:rsidR="00B25727" w:rsidRPr="00F15EE0" w:rsidRDefault="00B25727" w:rsidP="00B25727">
      <w:pPr>
        <w:rPr>
          <w:rFonts w:cs="Arial"/>
          <w:b/>
          <w:sz w:val="24"/>
          <w:szCs w:val="24"/>
        </w:rPr>
      </w:pPr>
    </w:p>
    <w:p w:rsidR="00B25727" w:rsidRPr="00F15EE0" w:rsidRDefault="00B25727" w:rsidP="00B25727">
      <w:pPr>
        <w:rPr>
          <w:rFonts w:cs="Arial"/>
          <w:b/>
          <w:sz w:val="24"/>
          <w:szCs w:val="24"/>
        </w:rPr>
      </w:pPr>
      <w:r w:rsidRPr="00F15EE0">
        <w:rPr>
          <w:rFonts w:cs="Arial"/>
          <w:b/>
          <w:sz w:val="24"/>
          <w:szCs w:val="24"/>
        </w:rPr>
        <w:t>Outline of time:</w:t>
      </w:r>
    </w:p>
    <w:p w:rsidR="00B25727" w:rsidRPr="00F15EE0" w:rsidRDefault="00B25727" w:rsidP="00B25727">
      <w:pPr>
        <w:pStyle w:val="ListParagraph"/>
        <w:numPr>
          <w:ilvl w:val="0"/>
          <w:numId w:val="8"/>
        </w:numPr>
        <w:spacing w:after="0" w:line="240" w:lineRule="auto"/>
        <w:ind w:left="360"/>
        <w:rPr>
          <w:rFonts w:cs="Arial"/>
          <w:b/>
          <w:sz w:val="24"/>
          <w:szCs w:val="24"/>
        </w:rPr>
      </w:pPr>
      <w:r w:rsidRPr="00F15EE0">
        <w:rPr>
          <w:rFonts w:cs="Arial"/>
          <w:b/>
          <w:sz w:val="24"/>
          <w:szCs w:val="24"/>
        </w:rPr>
        <w:t>Step 1</w:t>
      </w:r>
      <w:r w:rsidRPr="00F15EE0">
        <w:rPr>
          <w:rFonts w:cs="Arial"/>
          <w:sz w:val="24"/>
          <w:szCs w:val="24"/>
        </w:rPr>
        <w:t xml:space="preserve"> </w:t>
      </w:r>
      <w:r w:rsidRPr="00F15EE0">
        <w:rPr>
          <w:rFonts w:cs="Arial"/>
          <w:b/>
          <w:sz w:val="24"/>
          <w:szCs w:val="24"/>
        </w:rPr>
        <w:t>(5 minutes)</w:t>
      </w:r>
    </w:p>
    <w:p w:rsidR="00B25727" w:rsidRPr="00F15EE0" w:rsidRDefault="00B25727" w:rsidP="00B25727">
      <w:pPr>
        <w:pStyle w:val="ListParagraph"/>
        <w:ind w:left="360"/>
        <w:rPr>
          <w:rFonts w:cs="Arial"/>
          <w:sz w:val="24"/>
          <w:szCs w:val="24"/>
        </w:rPr>
      </w:pPr>
      <w:r w:rsidRPr="00F15EE0">
        <w:rPr>
          <w:rFonts w:cs="Arial"/>
          <w:sz w:val="24"/>
          <w:szCs w:val="24"/>
        </w:rPr>
        <w:t xml:space="preserve">Overview of exercise and worksheet value. </w:t>
      </w:r>
    </w:p>
    <w:p w:rsidR="00B25727" w:rsidRPr="00F15EE0" w:rsidRDefault="00B25727" w:rsidP="00B25727">
      <w:pPr>
        <w:pStyle w:val="ListParagraph"/>
        <w:ind w:left="360"/>
        <w:rPr>
          <w:rFonts w:cs="Arial"/>
          <w:sz w:val="24"/>
          <w:szCs w:val="24"/>
        </w:rPr>
      </w:pPr>
      <w:r w:rsidRPr="00F15EE0">
        <w:rPr>
          <w:rFonts w:cs="Arial"/>
          <w:sz w:val="24"/>
          <w:szCs w:val="24"/>
        </w:rPr>
        <w:t xml:space="preserve">Have participants review questions and begin jotting down responses using the worksheet. </w:t>
      </w:r>
    </w:p>
    <w:p w:rsidR="00B25727" w:rsidRPr="00F15EE0" w:rsidRDefault="00B25727" w:rsidP="00B25727">
      <w:pPr>
        <w:pStyle w:val="ListParagraph"/>
        <w:ind w:left="360"/>
        <w:rPr>
          <w:rFonts w:cs="Arial"/>
          <w:sz w:val="24"/>
          <w:szCs w:val="24"/>
        </w:rPr>
      </w:pPr>
    </w:p>
    <w:p w:rsidR="00B25727" w:rsidRPr="00F15EE0" w:rsidRDefault="00B25727" w:rsidP="00B25727">
      <w:pPr>
        <w:pStyle w:val="ListParagraph"/>
        <w:numPr>
          <w:ilvl w:val="0"/>
          <w:numId w:val="8"/>
        </w:numPr>
        <w:spacing w:after="0" w:line="240" w:lineRule="auto"/>
        <w:ind w:left="360"/>
        <w:rPr>
          <w:rFonts w:cs="Arial"/>
          <w:b/>
          <w:sz w:val="24"/>
          <w:szCs w:val="24"/>
        </w:rPr>
      </w:pPr>
      <w:r w:rsidRPr="00F15EE0">
        <w:rPr>
          <w:rFonts w:cs="Arial"/>
          <w:b/>
          <w:sz w:val="24"/>
          <w:szCs w:val="24"/>
        </w:rPr>
        <w:t>Step 2 (20 minutes)</w:t>
      </w:r>
    </w:p>
    <w:p w:rsidR="00B25727" w:rsidRPr="00E826A9" w:rsidRDefault="00B25727" w:rsidP="00E826A9">
      <w:pPr>
        <w:pStyle w:val="ListParagraph"/>
        <w:ind w:left="360"/>
        <w:rPr>
          <w:rFonts w:cs="Arial"/>
          <w:sz w:val="24"/>
          <w:szCs w:val="24"/>
        </w:rPr>
      </w:pPr>
      <w:r w:rsidRPr="00F15EE0">
        <w:rPr>
          <w:rFonts w:cs="Arial"/>
          <w:sz w:val="24"/>
          <w:szCs w:val="24"/>
        </w:rPr>
        <w:t xml:space="preserve">Moderators go around the room to hear from participants which two questions spoke to them the most and hear their response. (Modify as needed based on group size.) </w:t>
      </w:r>
      <w:r w:rsidRPr="00E826A9">
        <w:rPr>
          <w:rFonts w:cs="Arial"/>
          <w:sz w:val="24"/>
          <w:szCs w:val="24"/>
        </w:rPr>
        <w:t>As participants go around and share responses, moderators summarize using provided notepads.</w:t>
      </w:r>
    </w:p>
    <w:p w:rsidR="00F15EE0" w:rsidRPr="00F15EE0" w:rsidRDefault="00F15EE0" w:rsidP="00F15EE0">
      <w:pPr>
        <w:pStyle w:val="ListParagraph"/>
        <w:ind w:left="360"/>
        <w:rPr>
          <w:rFonts w:cs="Arial"/>
          <w:sz w:val="24"/>
          <w:szCs w:val="24"/>
        </w:rPr>
      </w:pPr>
    </w:p>
    <w:p w:rsidR="00B25727" w:rsidRPr="00F15EE0" w:rsidRDefault="00B25727" w:rsidP="00B25727">
      <w:pPr>
        <w:pStyle w:val="ListParagraph"/>
        <w:numPr>
          <w:ilvl w:val="0"/>
          <w:numId w:val="8"/>
        </w:numPr>
        <w:spacing w:after="0" w:line="240" w:lineRule="auto"/>
        <w:ind w:left="360"/>
        <w:rPr>
          <w:rFonts w:cs="Arial"/>
          <w:b/>
          <w:sz w:val="24"/>
          <w:szCs w:val="24"/>
        </w:rPr>
      </w:pPr>
      <w:r w:rsidRPr="00F15EE0">
        <w:rPr>
          <w:rFonts w:cs="Arial"/>
          <w:b/>
          <w:sz w:val="24"/>
          <w:szCs w:val="24"/>
        </w:rPr>
        <w:t>Step 3 (5 minutes)</w:t>
      </w:r>
    </w:p>
    <w:p w:rsidR="00B25727" w:rsidRDefault="00B25727" w:rsidP="00F15EE0">
      <w:pPr>
        <w:pStyle w:val="ListParagraph"/>
        <w:ind w:left="360"/>
        <w:rPr>
          <w:rFonts w:cs="Arial"/>
          <w:sz w:val="24"/>
          <w:szCs w:val="24"/>
        </w:rPr>
      </w:pPr>
      <w:r w:rsidRPr="00F15EE0">
        <w:rPr>
          <w:rFonts w:cs="Arial"/>
          <w:sz w:val="24"/>
          <w:szCs w:val="24"/>
        </w:rPr>
        <w:t xml:space="preserve">Summarize &amp; finish writing responses on worksheets/notepads. Have attendees take a picture for their own records before turning in to moderator. </w:t>
      </w:r>
    </w:p>
    <w:p w:rsidR="00F15EE0" w:rsidRPr="00F15EE0" w:rsidRDefault="00F15EE0" w:rsidP="00F15EE0">
      <w:pPr>
        <w:pStyle w:val="ListParagraph"/>
        <w:ind w:left="360"/>
        <w:rPr>
          <w:rFonts w:cs="Arial"/>
          <w:sz w:val="24"/>
          <w:szCs w:val="24"/>
        </w:rPr>
      </w:pPr>
    </w:p>
    <w:p w:rsidR="00B25727" w:rsidRPr="00F15EE0" w:rsidRDefault="00B25727" w:rsidP="00E826A9">
      <w:pPr>
        <w:rPr>
          <w:rFonts w:cs="Arial"/>
          <w:b/>
          <w:color w:val="000000"/>
          <w:sz w:val="24"/>
          <w:szCs w:val="24"/>
        </w:rPr>
      </w:pPr>
      <w:r w:rsidRPr="00F15EE0">
        <w:rPr>
          <w:rFonts w:cs="Arial"/>
          <w:b/>
          <w:sz w:val="24"/>
          <w:szCs w:val="24"/>
        </w:rPr>
        <w:t>If there is time, share f</w:t>
      </w:r>
      <w:r w:rsidRPr="00F15EE0">
        <w:rPr>
          <w:rFonts w:cs="Arial"/>
          <w:b/>
          <w:color w:val="000000"/>
          <w:sz w:val="24"/>
          <w:szCs w:val="24"/>
        </w:rPr>
        <w:t xml:space="preserve">inal </w:t>
      </w:r>
      <w:r w:rsidR="004D159A">
        <w:rPr>
          <w:rFonts w:cs="Arial"/>
          <w:b/>
          <w:color w:val="000000"/>
          <w:sz w:val="24"/>
          <w:szCs w:val="24"/>
        </w:rPr>
        <w:t>question to gather additional thoughts</w:t>
      </w:r>
      <w:r w:rsidRPr="00F15EE0">
        <w:rPr>
          <w:rFonts w:cs="Arial"/>
          <w:b/>
          <w:color w:val="000000"/>
          <w:sz w:val="24"/>
          <w:szCs w:val="24"/>
        </w:rPr>
        <w:t xml:space="preserve"> for consideration:</w:t>
      </w:r>
      <w:r w:rsidRPr="00F15EE0">
        <w:rPr>
          <w:rFonts w:cs="Arial"/>
          <w:color w:val="000000"/>
          <w:sz w:val="24"/>
          <w:szCs w:val="24"/>
        </w:rPr>
        <w:t xml:space="preserve"> </w:t>
      </w:r>
    </w:p>
    <w:p w:rsidR="00B25727" w:rsidRPr="00F15EE0" w:rsidRDefault="00B25727" w:rsidP="00F15EE0">
      <w:pPr>
        <w:ind w:firstLine="360"/>
        <w:rPr>
          <w:rFonts w:cs="Arial"/>
          <w:sz w:val="24"/>
          <w:szCs w:val="24"/>
        </w:rPr>
      </w:pPr>
      <w:r w:rsidRPr="00F15EE0">
        <w:rPr>
          <w:rFonts w:cs="Arial"/>
          <w:color w:val="000000"/>
          <w:sz w:val="24"/>
          <w:szCs w:val="24"/>
        </w:rPr>
        <w:t xml:space="preserve">What role can you play moving forward? </w:t>
      </w:r>
    </w:p>
    <w:p w:rsidR="00B25727" w:rsidRPr="00F15EE0" w:rsidRDefault="00B25727" w:rsidP="00B25727">
      <w:pPr>
        <w:rPr>
          <w:rFonts w:cs="Arial"/>
          <w:sz w:val="24"/>
          <w:szCs w:val="24"/>
        </w:rPr>
      </w:pPr>
    </w:p>
    <w:p w:rsidR="00B25727" w:rsidRPr="00F15EE0" w:rsidRDefault="00B25727" w:rsidP="00B25727">
      <w:pPr>
        <w:rPr>
          <w:rFonts w:cs="Arial"/>
          <w:b/>
          <w:sz w:val="24"/>
          <w:szCs w:val="24"/>
        </w:rPr>
      </w:pPr>
      <w:r w:rsidRPr="00F15EE0">
        <w:rPr>
          <w:rFonts w:cs="Arial"/>
          <w:b/>
          <w:sz w:val="24"/>
          <w:szCs w:val="24"/>
        </w:rPr>
        <w:t>Tips:</w:t>
      </w:r>
    </w:p>
    <w:p w:rsidR="00B25727" w:rsidRPr="00F15EE0" w:rsidRDefault="00B25727" w:rsidP="00B25727">
      <w:pPr>
        <w:pStyle w:val="ListParagraph"/>
        <w:numPr>
          <w:ilvl w:val="0"/>
          <w:numId w:val="9"/>
        </w:numPr>
        <w:spacing w:after="0" w:line="240" w:lineRule="auto"/>
        <w:rPr>
          <w:rFonts w:cs="Arial"/>
          <w:sz w:val="24"/>
          <w:szCs w:val="24"/>
        </w:rPr>
      </w:pPr>
      <w:r w:rsidRPr="00F15EE0">
        <w:rPr>
          <w:rFonts w:cs="Arial"/>
          <w:sz w:val="24"/>
          <w:szCs w:val="24"/>
        </w:rPr>
        <w:t xml:space="preserve">Keep people focused on this discussion in a regional scope. </w:t>
      </w:r>
    </w:p>
    <w:p w:rsidR="00B25727" w:rsidRPr="00F15EE0" w:rsidRDefault="00B25727" w:rsidP="00B25727">
      <w:pPr>
        <w:pStyle w:val="ListParagraph"/>
        <w:numPr>
          <w:ilvl w:val="0"/>
          <w:numId w:val="9"/>
        </w:numPr>
        <w:spacing w:after="0" w:line="240" w:lineRule="auto"/>
        <w:rPr>
          <w:rFonts w:cs="Arial"/>
          <w:b/>
          <w:sz w:val="24"/>
          <w:szCs w:val="24"/>
        </w:rPr>
      </w:pPr>
      <w:r w:rsidRPr="00F15EE0">
        <w:rPr>
          <w:rFonts w:cs="Arial"/>
          <w:sz w:val="24"/>
          <w:szCs w:val="24"/>
        </w:rPr>
        <w:t>Make sure everyone has a chance to talk and are being respectful listeners.</w:t>
      </w:r>
    </w:p>
    <w:p w:rsidR="00B25727" w:rsidRPr="00F15EE0" w:rsidRDefault="00B25727" w:rsidP="00B25727">
      <w:pPr>
        <w:pStyle w:val="ListParagraph"/>
        <w:numPr>
          <w:ilvl w:val="0"/>
          <w:numId w:val="9"/>
        </w:numPr>
        <w:spacing w:after="0" w:line="240" w:lineRule="auto"/>
        <w:rPr>
          <w:rFonts w:cs="Arial"/>
          <w:b/>
          <w:sz w:val="24"/>
          <w:szCs w:val="24"/>
        </w:rPr>
      </w:pPr>
      <w:r w:rsidRPr="00F15EE0">
        <w:rPr>
          <w:rFonts w:cs="Arial"/>
          <w:sz w:val="24"/>
          <w:szCs w:val="24"/>
        </w:rPr>
        <w:t>If someone is taking up too much time, remind them of the limited timeframe the group is working within.</w:t>
      </w:r>
    </w:p>
    <w:p w:rsidR="00F15EE0" w:rsidRDefault="00B25727" w:rsidP="00E26ECC">
      <w:pPr>
        <w:pStyle w:val="ListParagraph"/>
        <w:numPr>
          <w:ilvl w:val="0"/>
          <w:numId w:val="9"/>
        </w:numPr>
        <w:spacing w:after="0" w:line="240" w:lineRule="auto"/>
        <w:rPr>
          <w:b/>
        </w:rPr>
      </w:pPr>
      <w:r w:rsidRPr="00F15EE0">
        <w:rPr>
          <w:rFonts w:cs="Arial"/>
          <w:sz w:val="24"/>
          <w:szCs w:val="24"/>
        </w:rPr>
        <w:t>If the conversation is becoming circular, point out that you have enough information on that particular topic/perspective and will convey that in the summary. Ask if anyone has anything new to contribute to the richness of the discussion before moving on to a new topic.</w:t>
      </w:r>
      <w:r w:rsidR="00F15EE0">
        <w:rPr>
          <w:b/>
        </w:rPr>
        <w:t xml:space="preserve"> </w:t>
      </w:r>
    </w:p>
    <w:p w:rsidR="00E26ECC" w:rsidRPr="00523427" w:rsidRDefault="00F15EE0" w:rsidP="00F15EE0">
      <w:pPr>
        <w:rPr>
          <w:b/>
          <w:sz w:val="24"/>
          <w:szCs w:val="24"/>
        </w:rPr>
      </w:pPr>
      <w:r>
        <w:rPr>
          <w:b/>
        </w:rPr>
        <w:br w:type="page"/>
      </w:r>
      <w:r w:rsidR="00E26ECC" w:rsidRPr="00523427">
        <w:rPr>
          <w:b/>
          <w:sz w:val="24"/>
          <w:szCs w:val="24"/>
          <w:u w:val="single"/>
        </w:rPr>
        <w:lastRenderedPageBreak/>
        <w:t>Needs Analysis &amp; Asset Mapping</w:t>
      </w:r>
      <w:r w:rsidR="00E26ECC" w:rsidRPr="00523427">
        <w:rPr>
          <w:b/>
          <w:i/>
          <w:sz w:val="24"/>
          <w:szCs w:val="24"/>
        </w:rPr>
        <w:t xml:space="preserve"> (Independent Media M</w:t>
      </w:r>
      <w:r w:rsidR="00E26ECC" w:rsidRPr="00523427">
        <w:rPr>
          <w:rFonts w:hint="eastAsia"/>
          <w:b/>
          <w:i/>
          <w:sz w:val="24"/>
          <w:szCs w:val="24"/>
        </w:rPr>
        <w:t>a</w:t>
      </w:r>
      <w:r w:rsidR="00E26ECC" w:rsidRPr="00523427">
        <w:rPr>
          <w:b/>
          <w:i/>
          <w:sz w:val="24"/>
          <w:szCs w:val="24"/>
        </w:rPr>
        <w:t>kers)</w:t>
      </w:r>
    </w:p>
    <w:tbl>
      <w:tblPr>
        <w:tblStyle w:val="TableGrid"/>
        <w:tblW w:w="9651" w:type="dxa"/>
        <w:tblCellMar>
          <w:top w:w="115" w:type="dxa"/>
          <w:left w:w="115" w:type="dxa"/>
          <w:bottom w:w="115" w:type="dxa"/>
          <w:right w:w="115" w:type="dxa"/>
        </w:tblCellMar>
        <w:tblLook w:val="04A0" w:firstRow="1" w:lastRow="0" w:firstColumn="1" w:lastColumn="0" w:noHBand="0" w:noVBand="1"/>
      </w:tblPr>
      <w:tblGrid>
        <w:gridCol w:w="9651"/>
      </w:tblGrid>
      <w:tr w:rsidR="00E26ECC" w:rsidRPr="00C72034" w:rsidTr="00061114">
        <w:trPr>
          <w:trHeight w:val="560"/>
        </w:trPr>
        <w:tc>
          <w:tcPr>
            <w:tcW w:w="9651" w:type="dxa"/>
            <w:tcBorders>
              <w:bottom w:val="single" w:sz="4" w:space="0" w:color="auto"/>
            </w:tcBorders>
          </w:tcPr>
          <w:p w:rsidR="00E26ECC" w:rsidRPr="00C72034" w:rsidRDefault="00E26ECC" w:rsidP="00061114">
            <w:pPr>
              <w:rPr>
                <w:rFonts w:cs="Arial"/>
              </w:rPr>
            </w:pPr>
            <w:r w:rsidRPr="00C72034">
              <w:rPr>
                <w:rFonts w:cs="Arial"/>
                <w:b/>
              </w:rPr>
              <w:t xml:space="preserve">Discussion Goal: </w:t>
            </w:r>
            <w:r w:rsidRPr="00C72034">
              <w:rPr>
                <w:rFonts w:cs="Arial"/>
              </w:rPr>
              <w:t>Inspire regionally focused dialogue in pursuit of strategies towards a sustainable and healthy ecosystem for the documentary community and a vital creative economy.</w:t>
            </w:r>
          </w:p>
        </w:tc>
      </w:tr>
    </w:tbl>
    <w:p w:rsidR="00E26ECC" w:rsidRPr="00C72034" w:rsidRDefault="00E26ECC" w:rsidP="00E26ECC">
      <w:pPr>
        <w:rPr>
          <w:rFonts w:cs="Arial"/>
        </w:rPr>
      </w:pPr>
    </w:p>
    <w:p w:rsidR="00E26ECC" w:rsidRPr="00C72034" w:rsidRDefault="00E26ECC" w:rsidP="00E26ECC">
      <w:pPr>
        <w:rPr>
          <w:rFonts w:cs="Arial"/>
          <w:b/>
        </w:rPr>
      </w:pPr>
      <w:r>
        <w:rPr>
          <w:rFonts w:cs="Arial"/>
          <w:b/>
        </w:rPr>
        <w:t>Questions f</w:t>
      </w:r>
      <w:r w:rsidRPr="00C72034">
        <w:rPr>
          <w:rFonts w:cs="Arial"/>
          <w:b/>
        </w:rPr>
        <w:t>or Discussion:</w:t>
      </w:r>
    </w:p>
    <w:p w:rsidR="00E26ECC" w:rsidRPr="00C72034" w:rsidRDefault="00E26ECC" w:rsidP="00E26ECC">
      <w:pPr>
        <w:rPr>
          <w:rFonts w:cs="Arial"/>
        </w:rPr>
      </w:pPr>
      <w:r w:rsidRPr="00C72034">
        <w:rPr>
          <w:rFonts w:cs="Arial"/>
        </w:rPr>
        <w:t>Sustainability can mean something different for everyone. What will it take for you as an individual professional in the field to be sustainable?</w:t>
      </w:r>
    </w:p>
    <w:p w:rsidR="00E26ECC" w:rsidRPr="00C72034" w:rsidRDefault="00E26ECC" w:rsidP="00E26ECC">
      <w:pPr>
        <w:rPr>
          <w:rFonts w:cs="Arial"/>
        </w:rPr>
      </w:pPr>
    </w:p>
    <w:p w:rsidR="00E26ECC" w:rsidRPr="00C72034" w:rsidRDefault="00E26ECC" w:rsidP="00E26ECC">
      <w:pPr>
        <w:rPr>
          <w:rFonts w:cs="Arial"/>
        </w:rPr>
      </w:pPr>
    </w:p>
    <w:p w:rsidR="00E26ECC" w:rsidRPr="00C72034" w:rsidRDefault="00E26ECC" w:rsidP="00E26ECC">
      <w:pPr>
        <w:rPr>
          <w:rFonts w:cs="Arial"/>
        </w:rPr>
      </w:pPr>
    </w:p>
    <w:p w:rsidR="00E26ECC" w:rsidRPr="00C72034" w:rsidRDefault="00E26ECC" w:rsidP="00E26ECC">
      <w:pPr>
        <w:rPr>
          <w:rFonts w:cs="Arial"/>
        </w:rPr>
      </w:pPr>
      <w:r w:rsidRPr="00C72034">
        <w:rPr>
          <w:rFonts w:cs="Arial"/>
        </w:rPr>
        <w:t>What are specific sustainability challenges or barriers in your community?</w:t>
      </w:r>
    </w:p>
    <w:p w:rsidR="00E26ECC" w:rsidRPr="00C72034" w:rsidRDefault="00E26ECC" w:rsidP="00E26ECC">
      <w:pPr>
        <w:rPr>
          <w:rFonts w:cs="Arial"/>
        </w:rPr>
      </w:pPr>
    </w:p>
    <w:p w:rsidR="00E26ECC" w:rsidRPr="00C72034" w:rsidRDefault="00E26ECC" w:rsidP="00E26ECC">
      <w:pPr>
        <w:rPr>
          <w:rFonts w:cs="Arial"/>
        </w:rPr>
      </w:pPr>
    </w:p>
    <w:p w:rsidR="00E26ECC" w:rsidRPr="00C72034" w:rsidRDefault="00E26ECC" w:rsidP="00E26ECC">
      <w:pPr>
        <w:rPr>
          <w:rFonts w:cs="Arial"/>
        </w:rPr>
      </w:pPr>
    </w:p>
    <w:p w:rsidR="00E26ECC" w:rsidRPr="00C72034" w:rsidRDefault="00E26ECC" w:rsidP="00E26ECC">
      <w:pPr>
        <w:rPr>
          <w:rFonts w:cs="Arial"/>
        </w:rPr>
      </w:pPr>
      <w:r w:rsidRPr="00C72034">
        <w:rPr>
          <w:rFonts w:cs="Arial"/>
        </w:rPr>
        <w:t>What are untapped resources that are specific to your community or networks?</w:t>
      </w:r>
    </w:p>
    <w:p w:rsidR="00E26ECC" w:rsidRPr="00C72034" w:rsidRDefault="00E26ECC" w:rsidP="00E26ECC">
      <w:pPr>
        <w:rPr>
          <w:rFonts w:cs="Arial"/>
        </w:rPr>
      </w:pPr>
    </w:p>
    <w:p w:rsidR="00E26ECC" w:rsidRPr="00C72034" w:rsidRDefault="00E26ECC" w:rsidP="00E26ECC">
      <w:pPr>
        <w:rPr>
          <w:rFonts w:cs="Arial"/>
        </w:rPr>
      </w:pPr>
    </w:p>
    <w:p w:rsidR="00E26ECC" w:rsidRPr="00C72034" w:rsidRDefault="00E26ECC" w:rsidP="00E26ECC">
      <w:pPr>
        <w:rPr>
          <w:rFonts w:cs="Arial"/>
        </w:rPr>
      </w:pPr>
    </w:p>
    <w:p w:rsidR="00E26ECC" w:rsidRPr="00C72034" w:rsidRDefault="00E26ECC" w:rsidP="00E26ECC">
      <w:pPr>
        <w:rPr>
          <w:rFonts w:cs="Arial"/>
        </w:rPr>
      </w:pPr>
      <w:r w:rsidRPr="00C72034">
        <w:rPr>
          <w:rFonts w:cs="Arial"/>
        </w:rPr>
        <w:t>In relationship to cross-sector networks (outside of the professional documentary community), what networks do you have access to that can help move this conversation forward? What stakeholders might not be involved in this conversation that could be?</w:t>
      </w:r>
    </w:p>
    <w:p w:rsidR="00E26ECC" w:rsidRPr="00C72034" w:rsidRDefault="00E26ECC" w:rsidP="00E26ECC">
      <w:pPr>
        <w:rPr>
          <w:rFonts w:cs="Arial"/>
        </w:rPr>
      </w:pPr>
    </w:p>
    <w:p w:rsidR="00E26ECC" w:rsidRPr="00C72034" w:rsidRDefault="00E26ECC" w:rsidP="00E26ECC">
      <w:pPr>
        <w:rPr>
          <w:rFonts w:cs="Arial"/>
        </w:rPr>
      </w:pPr>
    </w:p>
    <w:p w:rsidR="00E26ECC" w:rsidRPr="00C72034" w:rsidRDefault="00E26ECC" w:rsidP="00E26ECC">
      <w:pPr>
        <w:rPr>
          <w:rFonts w:cs="Arial"/>
        </w:rPr>
      </w:pPr>
    </w:p>
    <w:p w:rsidR="00E26ECC" w:rsidRPr="00C72034" w:rsidRDefault="00E26ECC" w:rsidP="00E26ECC">
      <w:pPr>
        <w:rPr>
          <w:rFonts w:cs="Arial"/>
        </w:rPr>
      </w:pPr>
      <w:r w:rsidRPr="00C72034">
        <w:rPr>
          <w:rFonts w:cs="Arial"/>
        </w:rPr>
        <w:t>What do you need or wh</w:t>
      </w:r>
      <w:r>
        <w:rPr>
          <w:rFonts w:cs="Arial"/>
        </w:rPr>
        <w:t>at will it take to address stated</w:t>
      </w:r>
      <w:r w:rsidRPr="00C72034">
        <w:rPr>
          <w:rFonts w:cs="Arial"/>
        </w:rPr>
        <w:t xml:space="preserve"> challenges or barriers? How can we work together as a team to tackle these challenges?</w:t>
      </w:r>
    </w:p>
    <w:p w:rsidR="00E26ECC" w:rsidRDefault="00E26ECC" w:rsidP="00E26ECC">
      <w:pPr>
        <w:rPr>
          <w:rFonts w:cs="Arial"/>
        </w:rPr>
      </w:pPr>
    </w:p>
    <w:p w:rsidR="00E26ECC" w:rsidRPr="00C72034" w:rsidRDefault="00E26ECC" w:rsidP="00E26ECC">
      <w:pPr>
        <w:rPr>
          <w:rFonts w:cs="Arial"/>
        </w:rPr>
      </w:pPr>
    </w:p>
    <w:p w:rsidR="00E26ECC" w:rsidRPr="00C72034" w:rsidRDefault="00E26ECC" w:rsidP="00E26ECC">
      <w:pPr>
        <w:rPr>
          <w:rFonts w:cs="Arial"/>
        </w:rPr>
      </w:pPr>
    </w:p>
    <w:p w:rsidR="000225F7" w:rsidRDefault="00E26ECC" w:rsidP="000225F7">
      <w:pPr>
        <w:rPr>
          <w:rFonts w:cs="Arial"/>
          <w:color w:val="000000"/>
        </w:rPr>
      </w:pPr>
      <w:r w:rsidRPr="00C72034">
        <w:rPr>
          <w:rFonts w:cs="Arial"/>
          <w:b/>
          <w:color w:val="000000"/>
        </w:rPr>
        <w:t>Final thoughts for consideration:</w:t>
      </w:r>
      <w:r w:rsidRPr="00C72034">
        <w:rPr>
          <w:rFonts w:cs="Arial"/>
          <w:color w:val="000000"/>
        </w:rPr>
        <w:t xml:space="preserve"> What role can you play moving forward? </w:t>
      </w:r>
    </w:p>
    <w:p w:rsidR="000225F7" w:rsidRPr="00523427" w:rsidRDefault="000225F7" w:rsidP="000225F7">
      <w:pPr>
        <w:rPr>
          <w:b/>
          <w:sz w:val="24"/>
          <w:szCs w:val="24"/>
        </w:rPr>
      </w:pPr>
      <w:r w:rsidRPr="00523427">
        <w:rPr>
          <w:b/>
          <w:sz w:val="24"/>
          <w:szCs w:val="24"/>
          <w:u w:val="single"/>
        </w:rPr>
        <w:lastRenderedPageBreak/>
        <w:t>Needs Analysis &amp; Asset Mapping</w:t>
      </w:r>
      <w:r w:rsidRPr="00523427">
        <w:rPr>
          <w:b/>
          <w:i/>
          <w:sz w:val="24"/>
          <w:szCs w:val="24"/>
        </w:rPr>
        <w:t xml:space="preserve"> (Institutions/Organizations/Funders)</w:t>
      </w:r>
    </w:p>
    <w:tbl>
      <w:tblPr>
        <w:tblStyle w:val="TableGrid"/>
        <w:tblW w:w="9651" w:type="dxa"/>
        <w:tblCellMar>
          <w:top w:w="115" w:type="dxa"/>
          <w:left w:w="115" w:type="dxa"/>
          <w:bottom w:w="115" w:type="dxa"/>
          <w:right w:w="115" w:type="dxa"/>
        </w:tblCellMar>
        <w:tblLook w:val="04A0" w:firstRow="1" w:lastRow="0" w:firstColumn="1" w:lastColumn="0" w:noHBand="0" w:noVBand="1"/>
      </w:tblPr>
      <w:tblGrid>
        <w:gridCol w:w="9651"/>
      </w:tblGrid>
      <w:tr w:rsidR="000225F7" w:rsidRPr="001A2C1F" w:rsidTr="00061114">
        <w:trPr>
          <w:trHeight w:val="560"/>
        </w:trPr>
        <w:tc>
          <w:tcPr>
            <w:tcW w:w="9651" w:type="dxa"/>
            <w:tcBorders>
              <w:bottom w:val="single" w:sz="4" w:space="0" w:color="auto"/>
            </w:tcBorders>
          </w:tcPr>
          <w:p w:rsidR="000225F7" w:rsidRPr="001A2C1F" w:rsidRDefault="000225F7" w:rsidP="00061114">
            <w:pPr>
              <w:rPr>
                <w:b/>
              </w:rPr>
            </w:pPr>
            <w:r w:rsidRPr="001A2C1F">
              <w:rPr>
                <w:b/>
              </w:rPr>
              <w:t xml:space="preserve">Discussion Goal: </w:t>
            </w:r>
            <w:r w:rsidRPr="001A2C1F">
              <w:t xml:space="preserve">Inspire </w:t>
            </w:r>
            <w:r>
              <w:t xml:space="preserve">regionally focused </w:t>
            </w:r>
            <w:r w:rsidRPr="001A2C1F">
              <w:t>dialogue in pursuit of strategies towards a sustainable and healthy ecosystem for the documentary community and a vital creative economy.</w:t>
            </w:r>
          </w:p>
        </w:tc>
      </w:tr>
    </w:tbl>
    <w:p w:rsidR="000225F7" w:rsidRPr="001A2C1F" w:rsidRDefault="000225F7" w:rsidP="000225F7">
      <w:pPr>
        <w:rPr>
          <w:b/>
        </w:rPr>
      </w:pPr>
    </w:p>
    <w:p w:rsidR="000225F7" w:rsidRDefault="000225F7" w:rsidP="000225F7">
      <w:pPr>
        <w:rPr>
          <w:b/>
        </w:rPr>
      </w:pPr>
      <w:r>
        <w:rPr>
          <w:b/>
        </w:rPr>
        <w:t>Questions f</w:t>
      </w:r>
      <w:r w:rsidRPr="001A2C1F">
        <w:rPr>
          <w:b/>
        </w:rPr>
        <w:t>or Discussion:</w:t>
      </w:r>
    </w:p>
    <w:p w:rsidR="000225F7" w:rsidRDefault="000225F7" w:rsidP="000225F7">
      <w:r>
        <w:t>What are the most important sustainability issues that you are able to address?</w:t>
      </w:r>
    </w:p>
    <w:p w:rsidR="000225F7" w:rsidRPr="001A2C1F" w:rsidRDefault="000225F7" w:rsidP="000225F7">
      <w:pPr>
        <w:rPr>
          <w:b/>
        </w:rPr>
      </w:pPr>
    </w:p>
    <w:p w:rsidR="000225F7" w:rsidRPr="001A2C1F" w:rsidRDefault="000225F7" w:rsidP="000225F7">
      <w:pPr>
        <w:rPr>
          <w:b/>
        </w:rPr>
      </w:pPr>
    </w:p>
    <w:p w:rsidR="000225F7" w:rsidRPr="001A2C1F" w:rsidRDefault="000225F7" w:rsidP="000225F7">
      <w:pPr>
        <w:rPr>
          <w:b/>
        </w:rPr>
      </w:pPr>
    </w:p>
    <w:p w:rsidR="000225F7" w:rsidRPr="001A2C1F" w:rsidRDefault="000225F7" w:rsidP="000225F7">
      <w:pPr>
        <w:rPr>
          <w:b/>
        </w:rPr>
      </w:pPr>
      <w:r>
        <w:t>Are there any</w:t>
      </w:r>
      <w:r w:rsidRPr="001A2C1F">
        <w:t xml:space="preserve"> specific challenges or barriers </w:t>
      </w:r>
      <w:r>
        <w:t xml:space="preserve">that you currently encounter (or anticipate encountering) while addressing these </w:t>
      </w:r>
      <w:r w:rsidRPr="001A2C1F">
        <w:t xml:space="preserve">sustainability </w:t>
      </w:r>
      <w:r>
        <w:t>issues</w:t>
      </w:r>
      <w:r w:rsidRPr="001A2C1F">
        <w:t>?</w:t>
      </w:r>
    </w:p>
    <w:p w:rsidR="000225F7" w:rsidRPr="001A2C1F" w:rsidRDefault="000225F7" w:rsidP="000225F7">
      <w:pPr>
        <w:rPr>
          <w:b/>
        </w:rPr>
      </w:pPr>
    </w:p>
    <w:p w:rsidR="000225F7" w:rsidRPr="001A2C1F" w:rsidRDefault="000225F7" w:rsidP="000225F7">
      <w:pPr>
        <w:rPr>
          <w:b/>
        </w:rPr>
      </w:pPr>
    </w:p>
    <w:p w:rsidR="000225F7" w:rsidRPr="001A2C1F" w:rsidRDefault="000225F7" w:rsidP="000225F7">
      <w:pPr>
        <w:rPr>
          <w:b/>
        </w:rPr>
      </w:pPr>
    </w:p>
    <w:p w:rsidR="000225F7" w:rsidRPr="001A2C1F" w:rsidRDefault="000225F7" w:rsidP="000225F7">
      <w:pPr>
        <w:rPr>
          <w:b/>
        </w:rPr>
      </w:pPr>
      <w:r w:rsidRPr="001A2C1F">
        <w:t>What are untapped resources that are specific to your community or networks?</w:t>
      </w:r>
    </w:p>
    <w:p w:rsidR="000225F7" w:rsidRPr="001A2C1F" w:rsidRDefault="000225F7" w:rsidP="000225F7">
      <w:pPr>
        <w:rPr>
          <w:b/>
        </w:rPr>
      </w:pPr>
    </w:p>
    <w:p w:rsidR="000225F7" w:rsidRPr="001A2C1F" w:rsidRDefault="000225F7" w:rsidP="000225F7">
      <w:pPr>
        <w:rPr>
          <w:b/>
        </w:rPr>
      </w:pPr>
    </w:p>
    <w:p w:rsidR="000225F7" w:rsidRPr="001A2C1F" w:rsidRDefault="000225F7" w:rsidP="000225F7">
      <w:pPr>
        <w:rPr>
          <w:b/>
        </w:rPr>
      </w:pPr>
    </w:p>
    <w:p w:rsidR="000225F7" w:rsidRPr="001A2C1F" w:rsidRDefault="000225F7" w:rsidP="000225F7">
      <w:pPr>
        <w:rPr>
          <w:b/>
        </w:rPr>
      </w:pPr>
      <w:r w:rsidRPr="001A2C1F">
        <w:t>In relationship to cross-sector networks (outside of the professional documentary community), what networks do you have access to that can help move this conversation forward? What stakeholders might not be involved in this conversation that could be?</w:t>
      </w:r>
    </w:p>
    <w:p w:rsidR="000225F7" w:rsidRPr="001A2C1F" w:rsidRDefault="000225F7" w:rsidP="000225F7">
      <w:pPr>
        <w:rPr>
          <w:b/>
        </w:rPr>
      </w:pPr>
    </w:p>
    <w:p w:rsidR="000225F7" w:rsidRPr="001A2C1F" w:rsidRDefault="000225F7" w:rsidP="000225F7">
      <w:pPr>
        <w:rPr>
          <w:b/>
        </w:rPr>
      </w:pPr>
    </w:p>
    <w:p w:rsidR="000225F7" w:rsidRPr="001A2C1F" w:rsidRDefault="000225F7" w:rsidP="000225F7">
      <w:pPr>
        <w:rPr>
          <w:b/>
        </w:rPr>
      </w:pPr>
    </w:p>
    <w:p w:rsidR="000225F7" w:rsidRPr="001A2C1F" w:rsidRDefault="000225F7" w:rsidP="000225F7">
      <w:r w:rsidRPr="001A2C1F">
        <w:t>What do you need or wh</w:t>
      </w:r>
      <w:r>
        <w:t>at will it take to address stated</w:t>
      </w:r>
      <w:r w:rsidRPr="001A2C1F">
        <w:t xml:space="preserve"> challenges or barriers? How can we work together as a team to tackle these challenges?</w:t>
      </w:r>
    </w:p>
    <w:p w:rsidR="000225F7" w:rsidRDefault="000225F7" w:rsidP="000225F7"/>
    <w:p w:rsidR="000225F7" w:rsidRDefault="000225F7" w:rsidP="000225F7"/>
    <w:p w:rsidR="000225F7" w:rsidRPr="00121D99" w:rsidRDefault="000225F7" w:rsidP="000225F7">
      <w:pPr>
        <w:rPr>
          <w:rFonts w:ascii="Arial" w:hAnsi="Arial" w:cs="Arial"/>
          <w:b/>
          <w:color w:val="000000"/>
        </w:rPr>
      </w:pPr>
    </w:p>
    <w:p w:rsidR="00B84D27" w:rsidRPr="00E26ECC" w:rsidRDefault="000225F7">
      <w:pPr>
        <w:rPr>
          <w:rFonts w:cs="Arial"/>
          <w:color w:val="000000"/>
        </w:rPr>
      </w:pPr>
      <w:r w:rsidRPr="00121D99">
        <w:rPr>
          <w:rFonts w:cs="Arial"/>
          <w:b/>
          <w:color w:val="000000"/>
        </w:rPr>
        <w:t>Final thoughts for consideration:</w:t>
      </w:r>
      <w:r w:rsidRPr="00121D99">
        <w:rPr>
          <w:rFonts w:cs="Arial"/>
          <w:color w:val="000000"/>
        </w:rPr>
        <w:t xml:space="preserve"> What role can you play moving forward? </w:t>
      </w:r>
    </w:p>
    <w:sectPr w:rsidR="00B84D27" w:rsidRPr="00E26ECC" w:rsidSect="00F15EE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154" w:rsidRDefault="00164154" w:rsidP="00164154">
      <w:pPr>
        <w:spacing w:after="0" w:line="240" w:lineRule="auto"/>
      </w:pPr>
      <w:r>
        <w:separator/>
      </w:r>
    </w:p>
  </w:endnote>
  <w:endnote w:type="continuationSeparator" w:id="0">
    <w:p w:rsidR="00164154" w:rsidRDefault="00164154" w:rsidP="00164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EE0" w:rsidRPr="00F15EE0" w:rsidRDefault="00F15EE0">
    <w:pPr>
      <w:pStyle w:val="Footer"/>
      <w:jc w:val="right"/>
      <w:rPr>
        <w:i/>
        <w:sz w:val="14"/>
      </w:rPr>
    </w:pPr>
    <w:r w:rsidRPr="00F15EE0">
      <w:rPr>
        <w:i/>
        <w:sz w:val="14"/>
      </w:rPr>
      <w:t xml:space="preserve">Page </w:t>
    </w:r>
    <w:sdt>
      <w:sdtPr>
        <w:rPr>
          <w:i/>
          <w:sz w:val="14"/>
        </w:rPr>
        <w:id w:val="2061589287"/>
        <w:docPartObj>
          <w:docPartGallery w:val="Page Numbers (Bottom of Page)"/>
          <w:docPartUnique/>
        </w:docPartObj>
      </w:sdtPr>
      <w:sdtEndPr>
        <w:rPr>
          <w:noProof/>
        </w:rPr>
      </w:sdtEndPr>
      <w:sdtContent>
        <w:r w:rsidRPr="00F15EE0">
          <w:rPr>
            <w:i/>
            <w:sz w:val="14"/>
          </w:rPr>
          <w:fldChar w:fldCharType="begin"/>
        </w:r>
        <w:r w:rsidRPr="00F15EE0">
          <w:rPr>
            <w:i/>
            <w:sz w:val="14"/>
          </w:rPr>
          <w:instrText xml:space="preserve"> PAGE   \* MERGEFORMAT </w:instrText>
        </w:r>
        <w:r w:rsidRPr="00F15EE0">
          <w:rPr>
            <w:i/>
            <w:sz w:val="14"/>
          </w:rPr>
          <w:fldChar w:fldCharType="separate"/>
        </w:r>
        <w:r w:rsidR="00D74F46">
          <w:rPr>
            <w:i/>
            <w:noProof/>
            <w:sz w:val="14"/>
          </w:rPr>
          <w:t>11</w:t>
        </w:r>
        <w:r w:rsidRPr="00F15EE0">
          <w:rPr>
            <w:i/>
            <w:noProof/>
            <w:sz w:val="14"/>
          </w:rPr>
          <w:fldChar w:fldCharType="end"/>
        </w:r>
        <w:r w:rsidRPr="00F15EE0">
          <w:rPr>
            <w:i/>
            <w:noProof/>
            <w:sz w:val="14"/>
          </w:rPr>
          <w:t xml:space="preserve"> of 11</w:t>
        </w:r>
        <w:r>
          <w:rPr>
            <w:i/>
            <w:noProof/>
            <w:sz w:val="14"/>
          </w:rPr>
          <w:br/>
        </w:r>
      </w:sdtContent>
    </w:sdt>
  </w:p>
  <w:p w:rsidR="00F15EE0" w:rsidRPr="00B25727" w:rsidRDefault="00F15EE0" w:rsidP="00B25727">
    <w:pPr>
      <w:pStyle w:val="Foote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154" w:rsidRDefault="00164154" w:rsidP="00164154">
      <w:pPr>
        <w:spacing w:after="0" w:line="240" w:lineRule="auto"/>
      </w:pPr>
      <w:r>
        <w:separator/>
      </w:r>
    </w:p>
  </w:footnote>
  <w:footnote w:type="continuationSeparator" w:id="0">
    <w:p w:rsidR="00164154" w:rsidRDefault="00164154" w:rsidP="001641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E340A"/>
    <w:multiLevelType w:val="hybridMultilevel"/>
    <w:tmpl w:val="66FC27B4"/>
    <w:lvl w:ilvl="0" w:tplc="0409000B">
      <w:start w:val="1"/>
      <w:numFmt w:val="bullet"/>
      <w:lvlText w:val=""/>
      <w:lvlJc w:val="left"/>
      <w:pPr>
        <w:ind w:left="720" w:hanging="360"/>
      </w:pPr>
      <w:rPr>
        <w:rFonts w:ascii="Wingdings" w:hAnsi="Wingdings" w:hint="default"/>
      </w:rPr>
    </w:lvl>
    <w:lvl w:ilvl="1" w:tplc="6ADE3530">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C48BF"/>
    <w:multiLevelType w:val="hybridMultilevel"/>
    <w:tmpl w:val="0E5AF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A3A96"/>
    <w:multiLevelType w:val="hybridMultilevel"/>
    <w:tmpl w:val="9308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503DB"/>
    <w:multiLevelType w:val="hybridMultilevel"/>
    <w:tmpl w:val="369E980C"/>
    <w:lvl w:ilvl="0" w:tplc="0409000B">
      <w:start w:val="1"/>
      <w:numFmt w:val="bullet"/>
      <w:lvlText w:val=""/>
      <w:lvlJc w:val="left"/>
      <w:pPr>
        <w:ind w:left="720" w:hanging="360"/>
      </w:pPr>
      <w:rPr>
        <w:rFonts w:ascii="Wingdings" w:hAnsi="Wingdings" w:hint="default"/>
      </w:rPr>
    </w:lvl>
    <w:lvl w:ilvl="1" w:tplc="6ADE3530">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AC333B"/>
    <w:multiLevelType w:val="hybridMultilevel"/>
    <w:tmpl w:val="B5226C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5774F"/>
    <w:multiLevelType w:val="hybridMultilevel"/>
    <w:tmpl w:val="B8B2FB1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8B24EF"/>
    <w:multiLevelType w:val="hybridMultilevel"/>
    <w:tmpl w:val="86E8E8D4"/>
    <w:lvl w:ilvl="0" w:tplc="D0784C1E">
      <w:start w:val="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E738C"/>
    <w:multiLevelType w:val="hybridMultilevel"/>
    <w:tmpl w:val="1AA0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6212CD"/>
    <w:multiLevelType w:val="hybridMultilevel"/>
    <w:tmpl w:val="CE8C4A1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76ADE"/>
    <w:multiLevelType w:val="hybridMultilevel"/>
    <w:tmpl w:val="1706B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C52A19"/>
    <w:multiLevelType w:val="hybridMultilevel"/>
    <w:tmpl w:val="98A69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AD51623"/>
    <w:multiLevelType w:val="hybridMultilevel"/>
    <w:tmpl w:val="4950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73BB8"/>
    <w:multiLevelType w:val="hybridMultilevel"/>
    <w:tmpl w:val="A8C05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10"/>
  </w:num>
  <w:num w:numId="4">
    <w:abstractNumId w:val="0"/>
  </w:num>
  <w:num w:numId="5">
    <w:abstractNumId w:val="1"/>
  </w:num>
  <w:num w:numId="6">
    <w:abstractNumId w:val="4"/>
  </w:num>
  <w:num w:numId="7">
    <w:abstractNumId w:val="12"/>
  </w:num>
  <w:num w:numId="8">
    <w:abstractNumId w:val="11"/>
  </w:num>
  <w:num w:numId="9">
    <w:abstractNumId w:val="6"/>
  </w:num>
  <w:num w:numId="10">
    <w:abstractNumId w:val="7"/>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BD"/>
    <w:rsid w:val="000225F7"/>
    <w:rsid w:val="00164154"/>
    <w:rsid w:val="00221276"/>
    <w:rsid w:val="00225DF1"/>
    <w:rsid w:val="0028493E"/>
    <w:rsid w:val="004D159A"/>
    <w:rsid w:val="00523427"/>
    <w:rsid w:val="006B36EB"/>
    <w:rsid w:val="0075407B"/>
    <w:rsid w:val="007C54D2"/>
    <w:rsid w:val="00837CCA"/>
    <w:rsid w:val="009E6FB1"/>
    <w:rsid w:val="00A0761B"/>
    <w:rsid w:val="00A33DFC"/>
    <w:rsid w:val="00B25727"/>
    <w:rsid w:val="00B57B08"/>
    <w:rsid w:val="00B66209"/>
    <w:rsid w:val="00B84D27"/>
    <w:rsid w:val="00C12067"/>
    <w:rsid w:val="00C4655E"/>
    <w:rsid w:val="00CB22BD"/>
    <w:rsid w:val="00D74F46"/>
    <w:rsid w:val="00E26ECC"/>
    <w:rsid w:val="00E826A9"/>
    <w:rsid w:val="00ED1172"/>
    <w:rsid w:val="00F1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7128820-6DF9-4900-8ED3-E07BFA56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2BD"/>
  </w:style>
  <w:style w:type="paragraph" w:styleId="Heading1">
    <w:name w:val="heading 1"/>
    <w:basedOn w:val="Normal"/>
    <w:next w:val="Normal"/>
    <w:link w:val="Heading1Char"/>
    <w:uiPriority w:val="9"/>
    <w:qFormat/>
    <w:rsid w:val="007C54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2BD"/>
    <w:pPr>
      <w:ind w:left="720"/>
      <w:contextualSpacing/>
    </w:pPr>
  </w:style>
  <w:style w:type="character" w:styleId="Hyperlink">
    <w:name w:val="Hyperlink"/>
    <w:basedOn w:val="DefaultParagraphFont"/>
    <w:uiPriority w:val="99"/>
    <w:unhideWhenUsed/>
    <w:rsid w:val="009E6FB1"/>
    <w:rPr>
      <w:color w:val="0563C1" w:themeColor="hyperlink"/>
      <w:u w:val="single"/>
    </w:rPr>
  </w:style>
  <w:style w:type="table" w:styleId="TableGrid">
    <w:name w:val="Table Grid"/>
    <w:basedOn w:val="TableNormal"/>
    <w:uiPriority w:val="59"/>
    <w:rsid w:val="009E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E6FB1"/>
    <w:pPr>
      <w:widowControl w:val="0"/>
      <w:autoSpaceDE w:val="0"/>
      <w:autoSpaceDN w:val="0"/>
      <w:adjustRightInd w:val="0"/>
      <w:spacing w:after="0" w:line="181" w:lineRule="exact"/>
      <w:ind w:left="29"/>
    </w:pPr>
    <w:rPr>
      <w:rFonts w:ascii="Arial" w:eastAsiaTheme="minorEastAsia" w:hAnsi="Arial" w:cs="Arial"/>
      <w:sz w:val="24"/>
      <w:szCs w:val="24"/>
    </w:rPr>
  </w:style>
  <w:style w:type="paragraph" w:styleId="BodyText">
    <w:name w:val="Body Text"/>
    <w:basedOn w:val="Normal"/>
    <w:link w:val="BodyTextChar"/>
    <w:uiPriority w:val="1"/>
    <w:qFormat/>
    <w:rsid w:val="009E6FB1"/>
    <w:pPr>
      <w:widowControl w:val="0"/>
      <w:autoSpaceDE w:val="0"/>
      <w:autoSpaceDN w:val="0"/>
      <w:adjustRightInd w:val="0"/>
      <w:spacing w:after="0" w:line="240" w:lineRule="auto"/>
    </w:pPr>
    <w:rPr>
      <w:rFonts w:ascii="Corbel" w:eastAsiaTheme="minorEastAsia" w:hAnsi="Corbel" w:cs="Corbel"/>
      <w:sz w:val="19"/>
      <w:szCs w:val="19"/>
    </w:rPr>
  </w:style>
  <w:style w:type="character" w:customStyle="1" w:styleId="BodyTextChar">
    <w:name w:val="Body Text Char"/>
    <w:basedOn w:val="DefaultParagraphFont"/>
    <w:link w:val="BodyText"/>
    <w:uiPriority w:val="1"/>
    <w:rsid w:val="009E6FB1"/>
    <w:rPr>
      <w:rFonts w:ascii="Corbel" w:eastAsiaTheme="minorEastAsia" w:hAnsi="Corbel" w:cs="Corbel"/>
      <w:sz w:val="19"/>
      <w:szCs w:val="19"/>
    </w:rPr>
  </w:style>
  <w:style w:type="paragraph" w:styleId="Header">
    <w:name w:val="header"/>
    <w:basedOn w:val="Normal"/>
    <w:link w:val="HeaderChar"/>
    <w:uiPriority w:val="99"/>
    <w:unhideWhenUsed/>
    <w:rsid w:val="009E6FB1"/>
    <w:pPr>
      <w:pBdr>
        <w:top w:val="nil"/>
        <w:left w:val="nil"/>
        <w:bottom w:val="nil"/>
        <w:right w:val="nil"/>
        <w:between w:val="nil"/>
      </w:pBdr>
      <w:tabs>
        <w:tab w:val="center" w:pos="4680"/>
        <w:tab w:val="right" w:pos="9360"/>
      </w:tabs>
      <w:spacing w:after="0" w:line="240" w:lineRule="auto"/>
    </w:pPr>
    <w:rPr>
      <w:rFonts w:ascii="Arial" w:eastAsia="Arial" w:hAnsi="Arial" w:cs="Arial"/>
      <w:color w:val="000000"/>
      <w:lang w:val="en"/>
    </w:rPr>
  </w:style>
  <w:style w:type="character" w:customStyle="1" w:styleId="HeaderChar">
    <w:name w:val="Header Char"/>
    <w:basedOn w:val="DefaultParagraphFont"/>
    <w:link w:val="Header"/>
    <w:uiPriority w:val="99"/>
    <w:rsid w:val="009E6FB1"/>
    <w:rPr>
      <w:rFonts w:ascii="Arial" w:eastAsia="Arial" w:hAnsi="Arial" w:cs="Arial"/>
      <w:color w:val="000000"/>
      <w:lang w:val="en"/>
    </w:rPr>
  </w:style>
  <w:style w:type="paragraph" w:styleId="Footer">
    <w:name w:val="footer"/>
    <w:basedOn w:val="Normal"/>
    <w:link w:val="FooterChar"/>
    <w:uiPriority w:val="99"/>
    <w:unhideWhenUsed/>
    <w:rsid w:val="00164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154"/>
  </w:style>
  <w:style w:type="paragraph" w:styleId="NormalWeb">
    <w:name w:val="Normal (Web)"/>
    <w:basedOn w:val="Normal"/>
    <w:uiPriority w:val="99"/>
    <w:semiHidden/>
    <w:unhideWhenUsed/>
    <w:rsid w:val="00B25727"/>
    <w:pPr>
      <w:spacing w:after="0" w:line="240" w:lineRule="auto"/>
    </w:pPr>
    <w:rPr>
      <w:rFonts w:ascii="Times New Roman" w:hAnsi="Times New Roman" w:cs="Times New Roman"/>
      <w:sz w:val="24"/>
      <w:szCs w:val="24"/>
    </w:rPr>
  </w:style>
  <w:style w:type="paragraph" w:styleId="NoSpacing">
    <w:name w:val="No Spacing"/>
    <w:uiPriority w:val="1"/>
    <w:qFormat/>
    <w:rsid w:val="00B25727"/>
    <w:pPr>
      <w:spacing w:after="0" w:line="240" w:lineRule="auto"/>
    </w:pPr>
  </w:style>
  <w:style w:type="character" w:customStyle="1" w:styleId="Heading1Char">
    <w:name w:val="Heading 1 Char"/>
    <w:basedOn w:val="DefaultParagraphFont"/>
    <w:link w:val="Heading1"/>
    <w:uiPriority w:val="9"/>
    <w:rsid w:val="007C54D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88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www.arts.gov/artistic-fields/media-arts/documentary-sustainability-initiativ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rts.gov/sites/default/files/DocSummitReport2017_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ts.gov/artistic-fields/media-arts/documentary-sustainability-initiativ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rts.gov/sites/default/files/DocSummitReport2017_0.pdf" TargetMode="External"/><Relationship Id="rId4" Type="http://schemas.openxmlformats.org/officeDocument/2006/relationships/webSettings" Target="webSettings.xml"/><Relationship Id="rId9" Type="http://schemas.openxmlformats.org/officeDocument/2006/relationships/hyperlink" Target="https://www.documentary.org/magazin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2023</Words>
  <Characters>11697</Characters>
  <Application>Microsoft Office Word</Application>
  <DocSecurity>0</DocSecurity>
  <Lines>354</Lines>
  <Paragraphs>150</Paragraphs>
  <ScaleCrop>false</ScaleCrop>
  <HeadingPairs>
    <vt:vector size="2" baseType="variant">
      <vt:variant>
        <vt:lpstr>Title</vt:lpstr>
      </vt:variant>
      <vt:variant>
        <vt:i4>1</vt:i4>
      </vt:variant>
    </vt:vector>
  </HeadingPairs>
  <TitlesOfParts>
    <vt:vector size="1" baseType="lpstr">
      <vt:lpstr/>
    </vt:vector>
  </TitlesOfParts>
  <Company>National Endowment for the Arts</Company>
  <LinksUpToDate>false</LinksUpToDate>
  <CharactersWithSpaces>13570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Jax Deluca</dc:creator>
  <cp:keywords/>
  <dc:description/>
  <cp:lastModifiedBy>Sarah Burford</cp:lastModifiedBy>
  <cp:revision>4</cp:revision>
  <dcterms:created xsi:type="dcterms:W3CDTF">2018-05-25T18:21:00Z</dcterms:created>
  <dcterms:modified xsi:type="dcterms:W3CDTF">2018-05-25T18:22:00Z</dcterms:modified>
</cp:coreProperties>
</file>